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0F" w:rsidRPr="00A75AA3" w:rsidRDefault="00710FAD" w:rsidP="00E5210F">
      <w:pPr>
        <w:pStyle w:val="DeptBullets"/>
        <w:numPr>
          <w:ilvl w:val="0"/>
          <w:numId w:val="0"/>
        </w:numPr>
        <w:spacing w:after="0"/>
        <w:rPr>
          <w:rFonts w:cs="Arial"/>
          <w:b/>
          <w:color w:val="365F91" w:themeColor="accent1" w:themeShade="BF"/>
          <w:szCs w:val="24"/>
        </w:rPr>
      </w:pPr>
      <w:bookmarkStart w:id="0" w:name="_GoBack"/>
      <w:bookmarkEnd w:id="0"/>
      <w:r w:rsidRPr="00A75AA3">
        <w:rPr>
          <w:rFonts w:cs="Arial"/>
          <w:b/>
          <w:color w:val="365F91" w:themeColor="accent1" w:themeShade="BF"/>
          <w:szCs w:val="24"/>
        </w:rPr>
        <w:t>Local Leaders of Education LLE (YH)</w:t>
      </w:r>
    </w:p>
    <w:p w:rsidR="00DE43D4" w:rsidRPr="00A75AA3" w:rsidRDefault="00DE43D4" w:rsidP="00E5210F">
      <w:pPr>
        <w:pStyle w:val="DeptBullets"/>
        <w:numPr>
          <w:ilvl w:val="0"/>
          <w:numId w:val="0"/>
        </w:numPr>
        <w:spacing w:after="0"/>
        <w:rPr>
          <w:rFonts w:cs="Arial"/>
          <w:b/>
          <w:color w:val="365F91" w:themeColor="accent1" w:themeShade="BF"/>
          <w:szCs w:val="24"/>
        </w:rPr>
      </w:pPr>
    </w:p>
    <w:p w:rsidR="00E5210F" w:rsidRPr="00A75AA3" w:rsidRDefault="00DE43D4" w:rsidP="00E5210F">
      <w:pPr>
        <w:pStyle w:val="DeptBullets"/>
        <w:numPr>
          <w:ilvl w:val="0"/>
          <w:numId w:val="0"/>
        </w:numPr>
        <w:spacing w:after="0"/>
        <w:rPr>
          <w:rFonts w:cs="Arial"/>
          <w:i/>
          <w:iCs/>
          <w:color w:val="444444"/>
          <w:szCs w:val="24"/>
          <w:lang w:eastAsia="en-GB"/>
        </w:rPr>
      </w:pPr>
      <w:r w:rsidRPr="00DE43D4">
        <w:rPr>
          <w:rFonts w:cs="Arial"/>
          <w:color w:val="444444"/>
          <w:szCs w:val="24"/>
          <w:lang w:eastAsia="en-GB"/>
        </w:rPr>
        <w:t>In the December 2016 the National College for Teaching and Leadership confirmed changes to the LLE programme – the programme being devolved to teaching schools following a successful pilot</w:t>
      </w:r>
      <w:r w:rsidRPr="00A75AA3">
        <w:rPr>
          <w:rFonts w:cs="Arial"/>
          <w:color w:val="444444"/>
          <w:szCs w:val="24"/>
          <w:lang w:eastAsia="en-GB"/>
        </w:rPr>
        <w:t xml:space="preserve">. </w:t>
      </w:r>
      <w:r w:rsidRPr="00DE43D4">
        <w:rPr>
          <w:rFonts w:cs="Arial"/>
          <w:color w:val="444444"/>
          <w:szCs w:val="24"/>
          <w:lang w:eastAsia="en-GB"/>
        </w:rPr>
        <w:t>Teaching schools will not be required to confirm LLE designations to NCTL in the future (as they do currently with SLEs).  Local leaders of education data is to be held and maintained locally by teaching schools.</w:t>
      </w:r>
      <w:r w:rsidRPr="00DE43D4">
        <w:rPr>
          <w:rFonts w:cs="Arial"/>
          <w:i/>
          <w:iCs/>
          <w:color w:val="444444"/>
          <w:szCs w:val="24"/>
          <w:lang w:eastAsia="en-GB"/>
        </w:rPr>
        <w:t> </w:t>
      </w:r>
    </w:p>
    <w:p w:rsidR="00DE43D4" w:rsidRPr="00A75AA3" w:rsidRDefault="00DE43D4" w:rsidP="00E5210F">
      <w:pPr>
        <w:pStyle w:val="DeptBullets"/>
        <w:numPr>
          <w:ilvl w:val="0"/>
          <w:numId w:val="0"/>
        </w:numPr>
        <w:spacing w:after="0"/>
        <w:rPr>
          <w:rFonts w:cs="Arial"/>
          <w:b/>
          <w:color w:val="365F91" w:themeColor="accent1" w:themeShade="BF"/>
          <w:szCs w:val="24"/>
        </w:rPr>
      </w:pPr>
    </w:p>
    <w:p w:rsidR="00E5210F" w:rsidRPr="00A75AA3" w:rsidRDefault="00DE43D4" w:rsidP="00E5210F">
      <w:pPr>
        <w:pStyle w:val="DeptBullets"/>
        <w:numPr>
          <w:ilvl w:val="0"/>
          <w:numId w:val="0"/>
        </w:numPr>
        <w:spacing w:after="0"/>
        <w:rPr>
          <w:rFonts w:cs="Arial"/>
          <w:szCs w:val="24"/>
        </w:rPr>
      </w:pPr>
      <w:r w:rsidRPr="00A75AA3">
        <w:rPr>
          <w:rFonts w:cs="Arial"/>
          <w:szCs w:val="24"/>
        </w:rPr>
        <w:t>In anticipation of this development discussions were held at the Yorkshire and Humber TSA meeting on Thursday 6</w:t>
      </w:r>
      <w:r w:rsidRPr="00A75AA3">
        <w:rPr>
          <w:rFonts w:cs="Arial"/>
          <w:szCs w:val="24"/>
          <w:vertAlign w:val="superscript"/>
        </w:rPr>
        <w:t>th</w:t>
      </w:r>
      <w:r w:rsidRPr="00A75AA3">
        <w:rPr>
          <w:rFonts w:cs="Arial"/>
          <w:szCs w:val="24"/>
        </w:rPr>
        <w:t xml:space="preserve"> of October.  The following recommendations emerged from this discussion</w:t>
      </w:r>
      <w:r w:rsidR="00A75AA3" w:rsidRPr="00A75AA3">
        <w:rPr>
          <w:rFonts w:cs="Arial"/>
          <w:szCs w:val="24"/>
        </w:rPr>
        <w:t>:</w:t>
      </w:r>
      <w:r w:rsidRPr="00A75AA3">
        <w:rPr>
          <w:rFonts w:cs="Arial"/>
          <w:szCs w:val="24"/>
        </w:rPr>
        <w:t xml:space="preserve"> </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Criteria for LLEs should be agreed across the region and a regional register established and held by the TSC regional representative</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A formal process of application and designation should be agreed. TSAs will be able to recruit to meet their locality needs but the LLEs will meet a regional standard.</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TSAs should undertake an audit of local capacity and need to inform their recruitment</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Existing NLEs and experienced system leaders should be involved in the recruitment, selection and induction process</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Quality professional learning should be offered locally and regionally to support LLEs and enable them to consider applying for NLE status</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The pilot TSAs should share their processes and resources via a ‘train the trainer’ model.</w:t>
      </w:r>
    </w:p>
    <w:p w:rsidR="00A75AA3" w:rsidRPr="00A75AA3" w:rsidRDefault="00A75AA3" w:rsidP="00A75AA3">
      <w:pPr>
        <w:widowControl/>
        <w:numPr>
          <w:ilvl w:val="0"/>
          <w:numId w:val="21"/>
        </w:numPr>
        <w:overflowPunct/>
        <w:autoSpaceDE/>
        <w:autoSpaceDN/>
        <w:adjustRightInd/>
        <w:textAlignment w:val="auto"/>
        <w:rPr>
          <w:rFonts w:cs="Arial"/>
          <w:szCs w:val="24"/>
        </w:rPr>
      </w:pPr>
      <w:r w:rsidRPr="00A75AA3">
        <w:rPr>
          <w:rFonts w:cs="Arial"/>
          <w:szCs w:val="24"/>
        </w:rPr>
        <w:t>A regional board should be established to agree the criteria, share the protocol and guard the standard</w:t>
      </w:r>
    </w:p>
    <w:p w:rsidR="00A75AA3" w:rsidRPr="00A75AA3" w:rsidRDefault="00A75AA3" w:rsidP="00A75AA3">
      <w:pPr>
        <w:widowControl/>
        <w:overflowPunct/>
        <w:autoSpaceDE/>
        <w:autoSpaceDN/>
        <w:adjustRightInd/>
        <w:textAlignment w:val="auto"/>
        <w:rPr>
          <w:rFonts w:cs="Arial"/>
          <w:szCs w:val="24"/>
        </w:rPr>
      </w:pPr>
    </w:p>
    <w:p w:rsidR="00A75AA3" w:rsidRPr="00A75AA3" w:rsidRDefault="00A75AA3" w:rsidP="00A75AA3">
      <w:pPr>
        <w:widowControl/>
        <w:overflowPunct/>
        <w:autoSpaceDE/>
        <w:autoSpaceDN/>
        <w:adjustRightInd/>
        <w:textAlignment w:val="auto"/>
        <w:rPr>
          <w:rFonts w:cs="Arial"/>
          <w:szCs w:val="24"/>
        </w:rPr>
      </w:pPr>
      <w:r w:rsidRPr="00A75AA3">
        <w:rPr>
          <w:rFonts w:cs="Arial"/>
          <w:szCs w:val="24"/>
        </w:rPr>
        <w:t>In January 2017 a group of TSA / TSC representatives met to formulate a plan for regional delivery as set out below.  This is to be share with TSAs on 31</w:t>
      </w:r>
      <w:r w:rsidRPr="00A75AA3">
        <w:rPr>
          <w:rFonts w:cs="Arial"/>
          <w:szCs w:val="24"/>
          <w:vertAlign w:val="superscript"/>
        </w:rPr>
        <w:t>st</w:t>
      </w:r>
      <w:r w:rsidRPr="00A75AA3">
        <w:rPr>
          <w:rFonts w:cs="Arial"/>
          <w:szCs w:val="24"/>
        </w:rPr>
        <w:t xml:space="preserve"> January and any feedback should be given </w:t>
      </w:r>
      <w:r w:rsidR="006A0B37">
        <w:rPr>
          <w:rFonts w:cs="Arial"/>
          <w:szCs w:val="24"/>
        </w:rPr>
        <w:t xml:space="preserve">to Diane Heritage TSC Adviser </w:t>
      </w:r>
      <w:hyperlink r:id="rId7" w:history="1">
        <w:r w:rsidR="006A0B37" w:rsidRPr="005840E7">
          <w:rPr>
            <w:rStyle w:val="Hyperlink"/>
            <w:rFonts w:cs="Arial"/>
            <w:szCs w:val="24"/>
          </w:rPr>
          <w:t>dmheritage@hotmail.com</w:t>
        </w:r>
      </w:hyperlink>
      <w:r w:rsidR="006A0B37">
        <w:rPr>
          <w:rFonts w:cs="Arial"/>
          <w:szCs w:val="24"/>
        </w:rPr>
        <w:t xml:space="preserve"> </w:t>
      </w:r>
      <w:r w:rsidRPr="00A75AA3">
        <w:rPr>
          <w:rFonts w:cs="Arial"/>
          <w:szCs w:val="24"/>
        </w:rPr>
        <w:t>before February 10</w:t>
      </w:r>
      <w:r w:rsidRPr="00A75AA3">
        <w:rPr>
          <w:rFonts w:cs="Arial"/>
          <w:szCs w:val="24"/>
          <w:vertAlign w:val="superscript"/>
        </w:rPr>
        <w:t>th</w:t>
      </w:r>
      <w:r w:rsidRPr="00A75AA3">
        <w:rPr>
          <w:rFonts w:cs="Arial"/>
          <w:szCs w:val="24"/>
        </w:rPr>
        <w:t xml:space="preserve">.  Following that date documentation and a suggested timeline will be posted on the YHTSC website. </w:t>
      </w:r>
    </w:p>
    <w:p w:rsidR="00A75AA3" w:rsidRPr="00A75AA3" w:rsidRDefault="00A75AA3" w:rsidP="00E5210F">
      <w:pPr>
        <w:pStyle w:val="DeptBullets"/>
        <w:numPr>
          <w:ilvl w:val="0"/>
          <w:numId w:val="0"/>
        </w:numPr>
        <w:spacing w:after="0"/>
        <w:rPr>
          <w:rFonts w:cs="Arial"/>
          <w:b/>
          <w:color w:val="365F91" w:themeColor="accent1" w:themeShade="BF"/>
          <w:szCs w:val="24"/>
        </w:rPr>
      </w:pPr>
    </w:p>
    <w:p w:rsidR="007D4D51" w:rsidRPr="00A75AA3" w:rsidRDefault="007D4D51" w:rsidP="00AF1C07">
      <w:pPr>
        <w:pStyle w:val="DeptBullets"/>
        <w:numPr>
          <w:ilvl w:val="0"/>
          <w:numId w:val="0"/>
        </w:numPr>
        <w:rPr>
          <w:rFonts w:cs="Arial"/>
          <w:szCs w:val="24"/>
        </w:rPr>
      </w:pPr>
    </w:p>
    <w:tbl>
      <w:tblPr>
        <w:tblStyle w:val="TableGrid"/>
        <w:tblW w:w="0" w:type="auto"/>
        <w:tblLook w:val="04A0" w:firstRow="1" w:lastRow="0" w:firstColumn="1" w:lastColumn="0" w:noHBand="0" w:noVBand="1"/>
      </w:tblPr>
      <w:tblGrid>
        <w:gridCol w:w="2017"/>
        <w:gridCol w:w="6408"/>
        <w:gridCol w:w="6963"/>
      </w:tblGrid>
      <w:tr w:rsidR="009D7E4E" w:rsidRPr="00A75AA3" w:rsidTr="009D7E4E">
        <w:tc>
          <w:tcPr>
            <w:tcW w:w="1951" w:type="dxa"/>
          </w:tcPr>
          <w:p w:rsidR="009D7E4E" w:rsidRPr="00A75AA3" w:rsidRDefault="009D7E4E" w:rsidP="00A71E45">
            <w:pPr>
              <w:pStyle w:val="DeptBullets"/>
              <w:numPr>
                <w:ilvl w:val="0"/>
                <w:numId w:val="0"/>
              </w:numPr>
              <w:rPr>
                <w:rFonts w:cs="Arial"/>
                <w:b/>
                <w:szCs w:val="24"/>
              </w:rPr>
            </w:pPr>
            <w:r w:rsidRPr="00A75AA3">
              <w:rPr>
                <w:rFonts w:cs="Arial"/>
                <w:b/>
                <w:szCs w:val="24"/>
              </w:rPr>
              <w:t>Theme</w:t>
            </w:r>
          </w:p>
        </w:tc>
        <w:tc>
          <w:tcPr>
            <w:tcW w:w="6521" w:type="dxa"/>
          </w:tcPr>
          <w:p w:rsidR="009D7E4E" w:rsidRPr="00A75AA3" w:rsidRDefault="005E17FE" w:rsidP="009D7E4E">
            <w:pPr>
              <w:pStyle w:val="DeptBullets"/>
              <w:numPr>
                <w:ilvl w:val="0"/>
                <w:numId w:val="0"/>
              </w:numPr>
              <w:rPr>
                <w:rFonts w:cs="Arial"/>
                <w:b/>
                <w:szCs w:val="24"/>
              </w:rPr>
            </w:pPr>
            <w:r w:rsidRPr="00A75AA3">
              <w:rPr>
                <w:rFonts w:cs="Arial"/>
                <w:b/>
                <w:szCs w:val="24"/>
              </w:rPr>
              <w:t>Recommendation</w:t>
            </w:r>
          </w:p>
        </w:tc>
        <w:tc>
          <w:tcPr>
            <w:tcW w:w="7087" w:type="dxa"/>
          </w:tcPr>
          <w:p w:rsidR="009D7E4E" w:rsidRPr="00A75AA3" w:rsidRDefault="005E17FE" w:rsidP="009D7E4E">
            <w:pPr>
              <w:pStyle w:val="DeptBullets"/>
              <w:numPr>
                <w:ilvl w:val="0"/>
                <w:numId w:val="0"/>
              </w:numPr>
              <w:rPr>
                <w:rFonts w:cs="Arial"/>
                <w:b/>
                <w:szCs w:val="24"/>
              </w:rPr>
            </w:pPr>
            <w:r w:rsidRPr="00A75AA3">
              <w:rPr>
                <w:rFonts w:cs="Arial"/>
                <w:b/>
                <w:szCs w:val="24"/>
              </w:rPr>
              <w:t>Guidance and support</w:t>
            </w:r>
          </w:p>
        </w:tc>
      </w:tr>
      <w:tr w:rsidR="009D7E4E" w:rsidRPr="00A75AA3" w:rsidTr="009D7E4E">
        <w:tc>
          <w:tcPr>
            <w:tcW w:w="1951" w:type="dxa"/>
          </w:tcPr>
          <w:p w:rsidR="009D7E4E" w:rsidRPr="00A75AA3" w:rsidRDefault="00F915BB" w:rsidP="00A71E45">
            <w:pPr>
              <w:pStyle w:val="DeptBullets"/>
              <w:numPr>
                <w:ilvl w:val="0"/>
                <w:numId w:val="0"/>
              </w:numPr>
              <w:rPr>
                <w:rFonts w:cs="Arial"/>
                <w:b/>
                <w:szCs w:val="24"/>
              </w:rPr>
            </w:pPr>
            <w:r w:rsidRPr="00A75AA3">
              <w:rPr>
                <w:rFonts w:cs="Arial"/>
                <w:b/>
                <w:szCs w:val="24"/>
              </w:rPr>
              <w:t>Criteria</w:t>
            </w:r>
          </w:p>
        </w:tc>
        <w:tc>
          <w:tcPr>
            <w:tcW w:w="6521" w:type="dxa"/>
          </w:tcPr>
          <w:p w:rsidR="00F915BB" w:rsidRPr="00A75AA3" w:rsidRDefault="00524981" w:rsidP="009D7E4E">
            <w:pPr>
              <w:pStyle w:val="DeptBullets"/>
              <w:numPr>
                <w:ilvl w:val="0"/>
                <w:numId w:val="0"/>
              </w:numPr>
              <w:rPr>
                <w:rFonts w:cs="Arial"/>
                <w:i/>
                <w:szCs w:val="24"/>
              </w:rPr>
            </w:pPr>
            <w:r w:rsidRPr="00A75AA3">
              <w:rPr>
                <w:rFonts w:cs="Arial"/>
                <w:b/>
                <w:szCs w:val="24"/>
              </w:rPr>
              <w:t>D</w:t>
            </w:r>
            <w:r w:rsidR="009D7E4E" w:rsidRPr="00A75AA3">
              <w:rPr>
                <w:rFonts w:cs="Arial"/>
                <w:b/>
                <w:szCs w:val="24"/>
              </w:rPr>
              <w:t>esignation criteria</w:t>
            </w:r>
            <w:r w:rsidR="00F93DAC" w:rsidRPr="00A75AA3">
              <w:rPr>
                <w:rFonts w:cs="Arial"/>
                <w:szCs w:val="24"/>
              </w:rPr>
              <w:t xml:space="preserve"> – </w:t>
            </w:r>
            <w:r w:rsidR="00F93DAC" w:rsidRPr="00A75AA3">
              <w:rPr>
                <w:rFonts w:cs="Arial"/>
                <w:i/>
                <w:szCs w:val="24"/>
              </w:rPr>
              <w:t>Rationale – It is impor</w:t>
            </w:r>
            <w:r w:rsidR="00F915BB" w:rsidRPr="00A75AA3">
              <w:rPr>
                <w:rFonts w:cs="Arial"/>
                <w:i/>
                <w:szCs w:val="24"/>
              </w:rPr>
              <w:t>tant that we maintain a regional</w:t>
            </w:r>
            <w:r w:rsidR="00F93DAC" w:rsidRPr="00A75AA3">
              <w:rPr>
                <w:rFonts w:cs="Arial"/>
                <w:i/>
                <w:szCs w:val="24"/>
              </w:rPr>
              <w:t xml:space="preserve"> and equitable bar for the brand. The criteria </w:t>
            </w:r>
            <w:r w:rsidR="00F915BB" w:rsidRPr="00A75AA3">
              <w:rPr>
                <w:rFonts w:cs="Arial"/>
                <w:i/>
                <w:szCs w:val="24"/>
              </w:rPr>
              <w:t xml:space="preserve">must </w:t>
            </w:r>
            <w:r w:rsidR="00F93DAC" w:rsidRPr="00A75AA3">
              <w:rPr>
                <w:rFonts w:cs="Arial"/>
                <w:i/>
                <w:szCs w:val="24"/>
              </w:rPr>
              <w:t xml:space="preserve">complement the criteria for NLEs and </w:t>
            </w:r>
            <w:r w:rsidR="00F915BB" w:rsidRPr="00A75AA3">
              <w:rPr>
                <w:rFonts w:cs="Arial"/>
                <w:i/>
                <w:szCs w:val="24"/>
              </w:rPr>
              <w:t xml:space="preserve">SLEs in terms of having </w:t>
            </w:r>
            <w:r w:rsidR="00F93DAC" w:rsidRPr="00A75AA3">
              <w:rPr>
                <w:rFonts w:cs="Arial"/>
                <w:i/>
                <w:szCs w:val="24"/>
              </w:rPr>
              <w:t xml:space="preserve">differentiation between the roles. </w:t>
            </w:r>
          </w:p>
          <w:p w:rsidR="00EB1008" w:rsidRPr="00A75AA3" w:rsidRDefault="00EB1008" w:rsidP="009D7E4E">
            <w:pPr>
              <w:pStyle w:val="DeptBullets"/>
              <w:numPr>
                <w:ilvl w:val="0"/>
                <w:numId w:val="0"/>
              </w:numPr>
              <w:rPr>
                <w:rFonts w:cs="Arial"/>
                <w:i/>
                <w:szCs w:val="24"/>
              </w:rPr>
            </w:pPr>
          </w:p>
        </w:tc>
        <w:tc>
          <w:tcPr>
            <w:tcW w:w="7087" w:type="dxa"/>
          </w:tcPr>
          <w:p w:rsidR="00C73186" w:rsidRPr="00A75AA3" w:rsidRDefault="00C73186" w:rsidP="00C73186">
            <w:pPr>
              <w:widowControl/>
              <w:overflowPunct/>
              <w:autoSpaceDE/>
              <w:autoSpaceDN/>
              <w:adjustRightInd/>
              <w:spacing w:before="100" w:beforeAutospacing="1" w:after="100" w:afterAutospacing="1"/>
              <w:textAlignment w:val="auto"/>
              <w:rPr>
                <w:rFonts w:cs="Arial"/>
                <w:b/>
                <w:bCs/>
                <w:i/>
                <w:color w:val="17365D" w:themeColor="text2" w:themeShade="BF"/>
                <w:szCs w:val="24"/>
                <w:lang w:val="en" w:eastAsia="en-GB"/>
              </w:rPr>
            </w:pPr>
            <w:r w:rsidRPr="00A75AA3">
              <w:rPr>
                <w:rFonts w:cs="Arial"/>
                <w:b/>
                <w:bCs/>
                <w:i/>
                <w:color w:val="17365D" w:themeColor="text2" w:themeShade="BF"/>
                <w:szCs w:val="24"/>
                <w:lang w:val="en" w:eastAsia="en-GB"/>
              </w:rPr>
              <w:lastRenderedPageBreak/>
              <w:t>Criteria:</w:t>
            </w:r>
          </w:p>
          <w:p w:rsidR="00C73186" w:rsidRPr="00A75AA3" w:rsidRDefault="00C73186" w:rsidP="00C73186">
            <w:pPr>
              <w:widowControl/>
              <w:overflowPunct/>
              <w:autoSpaceDE/>
              <w:autoSpaceDN/>
              <w:adjustRightInd/>
              <w:spacing w:before="100" w:beforeAutospacing="1" w:after="100" w:afterAutospacing="1"/>
              <w:textAlignment w:val="auto"/>
              <w:rPr>
                <w:rFonts w:cs="Arial"/>
                <w:i/>
                <w:szCs w:val="24"/>
                <w:lang w:val="en" w:eastAsia="en-GB"/>
              </w:rPr>
            </w:pPr>
            <w:r w:rsidRPr="00A75AA3">
              <w:rPr>
                <w:rFonts w:cs="Arial"/>
                <w:i/>
                <w:szCs w:val="24"/>
                <w:lang w:val="en" w:eastAsia="en-GB"/>
              </w:rPr>
              <w:t>To be eligible to be a YH local leader of education, you must:</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lastRenderedPageBreak/>
              <w:t>have at least 3 years of experience as a serving headteacher</w:t>
            </w:r>
            <w:r w:rsidR="00E654BF" w:rsidRPr="00A75AA3">
              <w:rPr>
                <w:rFonts w:cs="Arial"/>
                <w:i/>
                <w:szCs w:val="24"/>
                <w:lang w:val="en" w:eastAsia="en-GB"/>
              </w:rPr>
              <w:t xml:space="preserve"> (including any period as acting head or head of school)</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have an Ofsted rating of good</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expect to remain at your current school for at least 2 years after being selected</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have accountability for one or more school(s) that meet the criteria below</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have the support of</w:t>
            </w:r>
            <w:r w:rsidR="00E654BF" w:rsidRPr="00A75AA3">
              <w:rPr>
                <w:rFonts w:cs="Arial"/>
                <w:i/>
                <w:szCs w:val="24"/>
                <w:lang w:val="en" w:eastAsia="en-GB"/>
              </w:rPr>
              <w:t xml:space="preserve"> your school’s governing body / trust board</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demonstrate that you have the ability and capacity to support another school to improve</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demonstrate that you have sufficient experience providing support as a coach or mentor to another headteacher or senior member of staff at a school other than your own</w:t>
            </w:r>
          </w:p>
          <w:p w:rsidR="00C73186" w:rsidRPr="00A75AA3" w:rsidRDefault="00C73186" w:rsidP="00C73186">
            <w:pPr>
              <w:widowControl/>
              <w:numPr>
                <w:ilvl w:val="0"/>
                <w:numId w:val="16"/>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commit to the time expectations</w:t>
            </w:r>
            <w:r w:rsidR="00E654BF" w:rsidRPr="00A75AA3">
              <w:rPr>
                <w:rFonts w:cs="Arial"/>
                <w:i/>
                <w:szCs w:val="24"/>
                <w:lang w:val="en" w:eastAsia="en-GB"/>
              </w:rPr>
              <w:t xml:space="preserve"> and induction and training as specified by the TSA</w:t>
            </w:r>
          </w:p>
          <w:p w:rsidR="00C73186" w:rsidRPr="00A75AA3" w:rsidRDefault="00C73186" w:rsidP="00C73186">
            <w:pPr>
              <w:widowControl/>
              <w:overflowPunct/>
              <w:autoSpaceDE/>
              <w:autoSpaceDN/>
              <w:adjustRightInd/>
              <w:spacing w:before="100" w:beforeAutospacing="1" w:after="100" w:afterAutospacing="1"/>
              <w:textAlignment w:val="auto"/>
              <w:outlineLvl w:val="2"/>
              <w:rPr>
                <w:rFonts w:cs="Arial"/>
                <w:b/>
                <w:bCs/>
                <w:i/>
                <w:szCs w:val="24"/>
                <w:lang w:val="en" w:eastAsia="en-GB"/>
              </w:rPr>
            </w:pPr>
            <w:r w:rsidRPr="00A75AA3">
              <w:rPr>
                <w:rFonts w:cs="Arial"/>
                <w:b/>
                <w:bCs/>
                <w:i/>
                <w:szCs w:val="24"/>
                <w:lang w:val="en" w:eastAsia="en-GB"/>
              </w:rPr>
              <w:t>Criteria for the headteacher’s school</w:t>
            </w:r>
          </w:p>
          <w:p w:rsidR="00C73186" w:rsidRPr="00A75AA3" w:rsidRDefault="00C73186" w:rsidP="00C73186">
            <w:pPr>
              <w:widowControl/>
              <w:overflowPunct/>
              <w:autoSpaceDE/>
              <w:autoSpaceDN/>
              <w:adjustRightInd/>
              <w:spacing w:before="100" w:beforeAutospacing="1" w:after="100" w:afterAutospacing="1"/>
              <w:textAlignment w:val="auto"/>
              <w:rPr>
                <w:rFonts w:cs="Arial"/>
                <w:i/>
                <w:szCs w:val="24"/>
                <w:lang w:val="en" w:eastAsia="en-GB"/>
              </w:rPr>
            </w:pPr>
            <w:r w:rsidRPr="00A75AA3">
              <w:rPr>
                <w:rFonts w:cs="Arial"/>
                <w:i/>
                <w:szCs w:val="24"/>
                <w:lang w:val="en" w:eastAsia="en-GB"/>
              </w:rPr>
              <w:t>For you to be considered as a local leader of education, your current school must:</w:t>
            </w:r>
          </w:p>
          <w:p w:rsidR="00C73186" w:rsidRPr="00A75AA3" w:rsidRDefault="00C73186" w:rsidP="00C73186">
            <w:pPr>
              <w:widowControl/>
              <w:numPr>
                <w:ilvl w:val="0"/>
                <w:numId w:val="17"/>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have an Ofsted rating of good</w:t>
            </w:r>
          </w:p>
          <w:p w:rsidR="00C73186" w:rsidRPr="00A75AA3" w:rsidRDefault="00C73186" w:rsidP="00C73186">
            <w:pPr>
              <w:widowControl/>
              <w:numPr>
                <w:ilvl w:val="0"/>
                <w:numId w:val="17"/>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show consistently high levels of pupil performance</w:t>
            </w:r>
            <w:r w:rsidR="00E654BF" w:rsidRPr="00A75AA3">
              <w:rPr>
                <w:rFonts w:cs="Arial"/>
                <w:i/>
                <w:szCs w:val="24"/>
                <w:lang w:val="en" w:eastAsia="en-GB"/>
              </w:rPr>
              <w:t xml:space="preserve"> or </w:t>
            </w:r>
            <w:r w:rsidR="006D7E2A" w:rsidRPr="00A75AA3">
              <w:rPr>
                <w:rFonts w:cs="Arial"/>
                <w:i/>
                <w:szCs w:val="24"/>
                <w:lang w:val="en" w:eastAsia="en-GB"/>
              </w:rPr>
              <w:t xml:space="preserve">a trend of </w:t>
            </w:r>
            <w:r w:rsidR="00E654BF" w:rsidRPr="00A75AA3">
              <w:rPr>
                <w:rFonts w:cs="Arial"/>
                <w:i/>
                <w:szCs w:val="24"/>
                <w:lang w:val="en" w:eastAsia="en-GB"/>
              </w:rPr>
              <w:t>continued improvement</w:t>
            </w:r>
          </w:p>
          <w:p w:rsidR="00C73186" w:rsidRPr="00A75AA3" w:rsidRDefault="00C73186" w:rsidP="00C73186">
            <w:pPr>
              <w:widowControl/>
              <w:numPr>
                <w:ilvl w:val="0"/>
                <w:numId w:val="17"/>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lastRenderedPageBreak/>
              <w:t xml:space="preserve">be above </w:t>
            </w:r>
            <w:hyperlink r:id="rId8" w:history="1">
              <w:r w:rsidRPr="00A75AA3">
                <w:rPr>
                  <w:rFonts w:cs="Arial"/>
                  <w:i/>
                  <w:color w:val="0000FF"/>
                  <w:szCs w:val="24"/>
                  <w:u w:val="single"/>
                  <w:lang w:val="en" w:eastAsia="en-GB"/>
                </w:rPr>
                <w:t>current minimum standards</w:t>
              </w:r>
            </w:hyperlink>
            <w:r w:rsidRPr="00A75AA3">
              <w:rPr>
                <w:rFonts w:cs="Arial"/>
                <w:i/>
                <w:szCs w:val="24"/>
                <w:lang w:val="en" w:eastAsia="en-GB"/>
              </w:rPr>
              <w:t xml:space="preserve"> set by the government</w:t>
            </w:r>
          </w:p>
          <w:p w:rsidR="00C73186" w:rsidRPr="00A75AA3" w:rsidRDefault="00C73186" w:rsidP="00C73186">
            <w:pPr>
              <w:widowControl/>
              <w:numPr>
                <w:ilvl w:val="0"/>
                <w:numId w:val="17"/>
              </w:numPr>
              <w:overflowPunct/>
              <w:autoSpaceDE/>
              <w:autoSpaceDN/>
              <w:adjustRightInd/>
              <w:spacing w:before="100" w:beforeAutospacing="1" w:after="100" w:afterAutospacing="1" w:line="276" w:lineRule="auto"/>
              <w:textAlignment w:val="auto"/>
              <w:rPr>
                <w:rFonts w:cs="Arial"/>
                <w:i/>
                <w:szCs w:val="24"/>
                <w:lang w:val="en" w:eastAsia="en-GB"/>
              </w:rPr>
            </w:pPr>
            <w:r w:rsidRPr="00A75AA3">
              <w:rPr>
                <w:rFonts w:cs="Arial"/>
                <w:i/>
                <w:szCs w:val="24"/>
                <w:lang w:val="en" w:eastAsia="en-GB"/>
              </w:rPr>
              <w:t>have experienced senior leaders with capacity to work with other schools</w:t>
            </w:r>
          </w:p>
          <w:p w:rsidR="00974C52" w:rsidRPr="00A75AA3" w:rsidRDefault="00C73186" w:rsidP="00C73186">
            <w:pPr>
              <w:widowControl/>
              <w:overflowPunct/>
              <w:autoSpaceDE/>
              <w:autoSpaceDN/>
              <w:adjustRightInd/>
              <w:spacing w:before="100" w:beforeAutospacing="1" w:after="100" w:afterAutospacing="1"/>
              <w:textAlignment w:val="auto"/>
              <w:rPr>
                <w:rFonts w:cs="Arial"/>
                <w:i/>
                <w:szCs w:val="24"/>
                <w:lang w:val="en" w:eastAsia="en-GB"/>
              </w:rPr>
            </w:pPr>
            <w:r w:rsidRPr="00A75AA3">
              <w:rPr>
                <w:rFonts w:cs="Arial"/>
                <w:i/>
                <w:szCs w:val="24"/>
                <w:lang w:val="en" w:eastAsia="en-GB"/>
              </w:rPr>
              <w:t>If you are applying as a sixth form college, you must be able to show e</w:t>
            </w:r>
            <w:r w:rsidR="006D7E2A" w:rsidRPr="00A75AA3">
              <w:rPr>
                <w:rFonts w:cs="Arial"/>
                <w:i/>
                <w:szCs w:val="24"/>
                <w:lang w:val="en" w:eastAsia="en-GB"/>
              </w:rPr>
              <w:t>vidence of supporting</w:t>
            </w:r>
            <w:r w:rsidRPr="00A75AA3">
              <w:rPr>
                <w:rFonts w:cs="Arial"/>
                <w:i/>
                <w:szCs w:val="24"/>
                <w:lang w:val="en" w:eastAsia="en-GB"/>
              </w:rPr>
              <w:t xml:space="preserve"> schools in addition to any support provided to sixth form colleges.</w:t>
            </w:r>
          </w:p>
          <w:p w:rsidR="00DE43D4" w:rsidRPr="00DE43D4" w:rsidRDefault="00DE43D4" w:rsidP="00DE43D4">
            <w:pPr>
              <w:widowControl/>
              <w:shd w:val="clear" w:color="auto" w:fill="ECECEC"/>
              <w:overflowPunct/>
              <w:autoSpaceDE/>
              <w:autoSpaceDN/>
              <w:adjustRightInd/>
              <w:spacing w:before="100" w:beforeAutospacing="1" w:after="100" w:afterAutospacing="1"/>
              <w:ind w:left="495"/>
              <w:textAlignment w:val="auto"/>
              <w:rPr>
                <w:rFonts w:cs="Arial"/>
                <w:color w:val="1F497D" w:themeColor="text2"/>
                <w:szCs w:val="24"/>
                <w:lang w:eastAsia="en-GB"/>
              </w:rPr>
            </w:pPr>
            <w:r w:rsidRPr="00A75AA3">
              <w:rPr>
                <w:rFonts w:cs="Arial"/>
                <w:color w:val="1F497D" w:themeColor="text2"/>
                <w:szCs w:val="24"/>
                <w:lang w:eastAsia="en-GB"/>
              </w:rPr>
              <w:t xml:space="preserve">NCTL guidance </w:t>
            </w:r>
            <w:hyperlink r:id="rId9" w:history="1">
              <w:r w:rsidRPr="00DE43D4">
                <w:rPr>
                  <w:rFonts w:cs="Arial"/>
                  <w:color w:val="1F497D" w:themeColor="text2"/>
                  <w:szCs w:val="24"/>
                  <w:lang w:eastAsia="en-GB"/>
                </w:rPr>
                <w:t>LLE eligibility criteria</w:t>
              </w:r>
            </w:hyperlink>
          </w:p>
          <w:p w:rsidR="00DE43D4" w:rsidRPr="00A75AA3" w:rsidRDefault="00DE43D4" w:rsidP="00C73186">
            <w:pPr>
              <w:widowControl/>
              <w:overflowPunct/>
              <w:autoSpaceDE/>
              <w:autoSpaceDN/>
              <w:adjustRightInd/>
              <w:spacing w:before="100" w:beforeAutospacing="1" w:after="100" w:afterAutospacing="1"/>
              <w:textAlignment w:val="auto"/>
              <w:rPr>
                <w:rFonts w:cs="Arial"/>
                <w:i/>
                <w:szCs w:val="24"/>
                <w:lang w:val="en" w:eastAsia="en-GB"/>
              </w:rPr>
            </w:pPr>
          </w:p>
          <w:p w:rsidR="00DE43D4" w:rsidRPr="00A75AA3" w:rsidRDefault="00DE43D4" w:rsidP="00C73186">
            <w:pPr>
              <w:widowControl/>
              <w:overflowPunct/>
              <w:autoSpaceDE/>
              <w:autoSpaceDN/>
              <w:adjustRightInd/>
              <w:spacing w:before="100" w:beforeAutospacing="1" w:after="100" w:afterAutospacing="1"/>
              <w:textAlignment w:val="auto"/>
              <w:rPr>
                <w:rFonts w:cs="Arial"/>
                <w:i/>
                <w:szCs w:val="24"/>
                <w:lang w:val="en" w:eastAsia="en-GB"/>
              </w:rPr>
            </w:pPr>
          </w:p>
        </w:tc>
      </w:tr>
      <w:tr w:rsidR="009D7E4E" w:rsidRPr="00A75AA3" w:rsidTr="009D7E4E">
        <w:tc>
          <w:tcPr>
            <w:tcW w:w="1951" w:type="dxa"/>
          </w:tcPr>
          <w:p w:rsidR="009D7E4E" w:rsidRPr="00A75AA3" w:rsidRDefault="009D7E4E" w:rsidP="00AF1C07">
            <w:pPr>
              <w:pStyle w:val="DeptBullets"/>
              <w:numPr>
                <w:ilvl w:val="0"/>
                <w:numId w:val="0"/>
              </w:numPr>
              <w:rPr>
                <w:rFonts w:cs="Arial"/>
                <w:b/>
                <w:szCs w:val="24"/>
              </w:rPr>
            </w:pPr>
            <w:r w:rsidRPr="00A75AA3">
              <w:rPr>
                <w:rFonts w:cs="Arial"/>
                <w:b/>
                <w:szCs w:val="24"/>
              </w:rPr>
              <w:lastRenderedPageBreak/>
              <w:t>Association</w:t>
            </w:r>
          </w:p>
        </w:tc>
        <w:tc>
          <w:tcPr>
            <w:tcW w:w="6521" w:type="dxa"/>
          </w:tcPr>
          <w:p w:rsidR="006D7E2A" w:rsidRPr="00A75AA3" w:rsidRDefault="00F915BB" w:rsidP="00F915BB">
            <w:pPr>
              <w:pStyle w:val="DeptBullets"/>
              <w:numPr>
                <w:ilvl w:val="0"/>
                <w:numId w:val="0"/>
              </w:numPr>
              <w:rPr>
                <w:rFonts w:cs="Arial"/>
                <w:szCs w:val="24"/>
              </w:rPr>
            </w:pPr>
            <w:r w:rsidRPr="00A75AA3">
              <w:rPr>
                <w:rFonts w:cs="Arial"/>
                <w:b/>
                <w:szCs w:val="24"/>
              </w:rPr>
              <w:t>A</w:t>
            </w:r>
            <w:r w:rsidR="00476926" w:rsidRPr="00A75AA3">
              <w:rPr>
                <w:rFonts w:cs="Arial"/>
                <w:b/>
                <w:szCs w:val="24"/>
              </w:rPr>
              <w:t>ssociation</w:t>
            </w:r>
            <w:r w:rsidR="00E81BFA" w:rsidRPr="00A75AA3">
              <w:rPr>
                <w:rFonts w:cs="Arial"/>
                <w:szCs w:val="24"/>
              </w:rPr>
              <w:t xml:space="preserve"> </w:t>
            </w:r>
          </w:p>
          <w:p w:rsidR="009D7E4E" w:rsidRDefault="00F915BB" w:rsidP="00F915BB">
            <w:pPr>
              <w:pStyle w:val="DeptBullets"/>
              <w:numPr>
                <w:ilvl w:val="0"/>
                <w:numId w:val="0"/>
              </w:numPr>
              <w:rPr>
                <w:rFonts w:cs="Arial"/>
                <w:i/>
                <w:szCs w:val="24"/>
              </w:rPr>
            </w:pPr>
            <w:r w:rsidRPr="00A75AA3">
              <w:rPr>
                <w:rFonts w:cs="Arial"/>
                <w:i/>
                <w:szCs w:val="24"/>
              </w:rPr>
              <w:t xml:space="preserve">All </w:t>
            </w:r>
            <w:r w:rsidR="006060B3" w:rsidRPr="00A75AA3">
              <w:rPr>
                <w:rFonts w:cs="Arial"/>
                <w:i/>
                <w:szCs w:val="24"/>
              </w:rPr>
              <w:t xml:space="preserve">TSA will be sent the </w:t>
            </w:r>
            <w:r w:rsidRPr="00A75AA3">
              <w:rPr>
                <w:rFonts w:cs="Arial"/>
                <w:i/>
                <w:szCs w:val="24"/>
              </w:rPr>
              <w:t xml:space="preserve">regional </w:t>
            </w:r>
            <w:r w:rsidR="006060B3" w:rsidRPr="00A75AA3">
              <w:rPr>
                <w:rFonts w:cs="Arial"/>
                <w:i/>
                <w:szCs w:val="24"/>
              </w:rPr>
              <w:t xml:space="preserve">list of existing LLEs </w:t>
            </w:r>
            <w:r w:rsidRPr="00A75AA3">
              <w:rPr>
                <w:rFonts w:cs="Arial"/>
                <w:i/>
                <w:szCs w:val="24"/>
              </w:rPr>
              <w:t>and should contact LLEs within their area and invite them to associate with a local TSA.</w:t>
            </w:r>
          </w:p>
          <w:p w:rsidR="00A75AA3" w:rsidRPr="00A75AA3" w:rsidRDefault="00A75AA3" w:rsidP="00F915BB">
            <w:pPr>
              <w:pStyle w:val="DeptBullets"/>
              <w:numPr>
                <w:ilvl w:val="0"/>
                <w:numId w:val="0"/>
              </w:numPr>
              <w:rPr>
                <w:rFonts w:cs="Arial"/>
                <w:i/>
                <w:szCs w:val="24"/>
              </w:rPr>
            </w:pPr>
            <w:r>
              <w:rPr>
                <w:rFonts w:cs="Arial"/>
                <w:i/>
                <w:szCs w:val="24"/>
              </w:rPr>
              <w:t>The TSC representative will contact existing LLEs in March 2017 with information and to encourage them to associate with a TSA.</w:t>
            </w:r>
          </w:p>
          <w:p w:rsidR="005E17FE" w:rsidRPr="00A75AA3" w:rsidRDefault="005E17FE" w:rsidP="00F915BB">
            <w:pPr>
              <w:pStyle w:val="DeptBullets"/>
              <w:numPr>
                <w:ilvl w:val="0"/>
                <w:numId w:val="0"/>
              </w:numPr>
              <w:rPr>
                <w:rFonts w:cs="Arial"/>
                <w:szCs w:val="24"/>
              </w:rPr>
            </w:pPr>
            <w:r w:rsidRPr="00A75AA3">
              <w:rPr>
                <w:rFonts w:cs="Arial"/>
                <w:i/>
                <w:szCs w:val="24"/>
              </w:rPr>
              <w:t>Pen portraits for NLEs, LLEs and SLEs should be available on each TSA website.</w:t>
            </w:r>
          </w:p>
        </w:tc>
        <w:tc>
          <w:tcPr>
            <w:tcW w:w="7087" w:type="dxa"/>
          </w:tcPr>
          <w:p w:rsidR="006A6F17" w:rsidRPr="00A75AA3" w:rsidRDefault="006A6F17" w:rsidP="006A6F17">
            <w:pPr>
              <w:rPr>
                <w:rFonts w:cs="Arial"/>
                <w:i/>
                <w:szCs w:val="24"/>
              </w:rPr>
            </w:pPr>
            <w:r w:rsidRPr="00A75AA3">
              <w:rPr>
                <w:rFonts w:cs="Arial"/>
                <w:i/>
                <w:szCs w:val="24"/>
              </w:rPr>
              <w:t xml:space="preserve">Commissions for LLE support currently come from a variety of sources, including but not limited to, schools, LAs, dioceses, RSC and MATs. All commissions will be brokered through a TSA. LLEs associating with a TSA or a single strategic entity </w:t>
            </w:r>
            <w:r w:rsidR="006D7E2A" w:rsidRPr="00A75AA3">
              <w:rPr>
                <w:rFonts w:cs="Arial"/>
                <w:i/>
                <w:szCs w:val="24"/>
              </w:rPr>
              <w:t>e.g.</w:t>
            </w:r>
            <w:r w:rsidRPr="00A75AA3">
              <w:rPr>
                <w:rFonts w:cs="Arial"/>
                <w:i/>
                <w:szCs w:val="24"/>
              </w:rPr>
              <w:t xml:space="preserve"> a collaborative/formal grouping of TSA, will agree for their deployments to be exclusively brokered through that TSA/strategic TSA grouping. </w:t>
            </w:r>
          </w:p>
          <w:p w:rsidR="006A6F17" w:rsidRPr="00A75AA3" w:rsidRDefault="006A6F17" w:rsidP="006A6F17">
            <w:pPr>
              <w:rPr>
                <w:rFonts w:cs="Arial"/>
                <w:i/>
                <w:szCs w:val="24"/>
              </w:rPr>
            </w:pPr>
          </w:p>
          <w:p w:rsidR="006A6F17" w:rsidRPr="00A75AA3" w:rsidRDefault="006A6F17" w:rsidP="006A6F17">
            <w:pPr>
              <w:rPr>
                <w:rFonts w:cs="Arial"/>
                <w:i/>
                <w:szCs w:val="24"/>
              </w:rPr>
            </w:pPr>
            <w:r w:rsidRPr="00A75AA3">
              <w:rPr>
                <w:rFonts w:cs="Arial"/>
                <w:i/>
                <w:szCs w:val="24"/>
              </w:rPr>
              <w:t xml:space="preserve">Commissions and deployments may take place within and beyond the TSA. </w:t>
            </w:r>
          </w:p>
          <w:p w:rsidR="006A6F17" w:rsidRPr="00A75AA3" w:rsidRDefault="006A6F17" w:rsidP="006A6F17">
            <w:pPr>
              <w:rPr>
                <w:rFonts w:cs="Arial"/>
                <w:i/>
                <w:szCs w:val="24"/>
              </w:rPr>
            </w:pPr>
          </w:p>
          <w:p w:rsidR="006A6F17" w:rsidRPr="00A75AA3" w:rsidRDefault="006A6F17" w:rsidP="006A6F17">
            <w:pPr>
              <w:rPr>
                <w:rFonts w:cs="Arial"/>
                <w:i/>
                <w:szCs w:val="24"/>
              </w:rPr>
            </w:pPr>
            <w:r w:rsidRPr="00A75AA3">
              <w:rPr>
                <w:rFonts w:cs="Arial"/>
                <w:i/>
                <w:szCs w:val="24"/>
              </w:rPr>
              <w:t xml:space="preserve">The ‘association’ model will work in a similar way to the specialist leader of education (SLE) model. </w:t>
            </w:r>
          </w:p>
          <w:p w:rsidR="006A6F17" w:rsidRPr="00A75AA3" w:rsidRDefault="006A6F17" w:rsidP="006A6F17">
            <w:pPr>
              <w:rPr>
                <w:rFonts w:cs="Arial"/>
                <w:i/>
                <w:szCs w:val="24"/>
              </w:rPr>
            </w:pPr>
          </w:p>
          <w:p w:rsidR="006A6F17" w:rsidRPr="00A75AA3" w:rsidRDefault="006A6F17" w:rsidP="006A6F17">
            <w:pPr>
              <w:widowControl/>
              <w:overflowPunct/>
              <w:autoSpaceDE/>
              <w:autoSpaceDN/>
              <w:adjustRightInd/>
              <w:spacing w:after="200" w:line="276" w:lineRule="auto"/>
              <w:textAlignment w:val="auto"/>
              <w:rPr>
                <w:rFonts w:eastAsiaTheme="minorHAnsi" w:cs="Arial"/>
                <w:b/>
                <w:i/>
                <w:szCs w:val="24"/>
              </w:rPr>
            </w:pPr>
            <w:r w:rsidRPr="00A75AA3">
              <w:rPr>
                <w:rFonts w:eastAsiaTheme="minorHAnsi" w:cs="Arial"/>
                <w:b/>
                <w:i/>
                <w:szCs w:val="24"/>
              </w:rPr>
              <w:t xml:space="preserve">Principles of association: </w:t>
            </w:r>
          </w:p>
          <w:p w:rsidR="006A6F17" w:rsidRPr="00A75AA3" w:rsidRDefault="006A6F17" w:rsidP="006A6F17">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lastRenderedPageBreak/>
              <w:t>Association must not duplicate the designation process; it is solely an agreement between the LLE and TSA/strategic TSA grouping that the TSA will exclusively broker their deployments.</w:t>
            </w:r>
          </w:p>
          <w:p w:rsidR="006A6F17" w:rsidRPr="00A75AA3" w:rsidRDefault="006A6F17" w:rsidP="006A6F17">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t xml:space="preserve">LLEs should only associate with one TSA/strategic TSA grouping at any one time; this is to avoid duplication particularly with regards to reporting. </w:t>
            </w:r>
          </w:p>
          <w:p w:rsidR="00D013FA" w:rsidRPr="00A75AA3" w:rsidRDefault="006A6F17" w:rsidP="00D013FA">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t>LLEs designated by TSA/strategic TSA groupings will be automatically associated with them.</w:t>
            </w:r>
          </w:p>
          <w:p w:rsidR="006A6F17" w:rsidRPr="00A75AA3" w:rsidRDefault="006A6F17" w:rsidP="00D013FA">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t xml:space="preserve"> TSA</w:t>
            </w:r>
            <w:r w:rsidR="00D013FA" w:rsidRPr="00A75AA3">
              <w:rPr>
                <w:rFonts w:eastAsiaTheme="minorHAnsi" w:cs="Arial"/>
                <w:i/>
                <w:szCs w:val="24"/>
              </w:rPr>
              <w:t>s</w:t>
            </w:r>
            <w:r w:rsidRPr="00A75AA3">
              <w:rPr>
                <w:rFonts w:eastAsiaTheme="minorHAnsi" w:cs="Arial"/>
                <w:i/>
                <w:szCs w:val="24"/>
              </w:rPr>
              <w:t xml:space="preserve"> should approach existing LLEs</w:t>
            </w:r>
            <w:r w:rsidR="00D013FA" w:rsidRPr="00A75AA3">
              <w:rPr>
                <w:rFonts w:eastAsiaTheme="minorHAnsi" w:cs="Arial"/>
                <w:i/>
                <w:szCs w:val="24"/>
              </w:rPr>
              <w:t xml:space="preserve"> </w:t>
            </w:r>
            <w:r w:rsidRPr="00A75AA3">
              <w:rPr>
                <w:rFonts w:eastAsiaTheme="minorHAnsi" w:cs="Arial"/>
                <w:i/>
                <w:szCs w:val="24"/>
              </w:rPr>
              <w:t xml:space="preserve">to instigate association or vice versa, ultimately it will be the choice of LLEs who they associate with. </w:t>
            </w:r>
          </w:p>
          <w:p w:rsidR="00D013FA" w:rsidRPr="00A75AA3" w:rsidRDefault="006A6F17" w:rsidP="006A6F17">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t>An association between a LLE and TSA/strategic TSA grouping</w:t>
            </w:r>
            <w:r w:rsidR="00D013FA" w:rsidRPr="00A75AA3">
              <w:rPr>
                <w:rFonts w:eastAsiaTheme="minorHAnsi" w:cs="Arial"/>
                <w:i/>
                <w:szCs w:val="24"/>
              </w:rPr>
              <w:t xml:space="preserve"> should </w:t>
            </w:r>
            <w:r w:rsidRPr="00A75AA3">
              <w:rPr>
                <w:rFonts w:eastAsiaTheme="minorHAnsi" w:cs="Arial"/>
                <w:i/>
                <w:szCs w:val="24"/>
              </w:rPr>
              <w:t>result in automatic alliance membership for the LLE’s school</w:t>
            </w:r>
            <w:r w:rsidR="00D013FA" w:rsidRPr="00A75AA3">
              <w:rPr>
                <w:rFonts w:eastAsiaTheme="minorHAnsi" w:cs="Arial"/>
                <w:i/>
                <w:szCs w:val="24"/>
              </w:rPr>
              <w:t>.</w:t>
            </w:r>
          </w:p>
          <w:p w:rsidR="009D7E4E" w:rsidRPr="00A75AA3" w:rsidRDefault="006A6F17" w:rsidP="00C73186">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t xml:space="preserve">TSA will receive and seek commissions for their associated LLEs; broker, </w:t>
            </w:r>
            <w:r w:rsidR="00E74CFC" w:rsidRPr="00A75AA3">
              <w:rPr>
                <w:rFonts w:eastAsiaTheme="minorHAnsi" w:cs="Arial"/>
                <w:i/>
                <w:szCs w:val="24"/>
              </w:rPr>
              <w:t xml:space="preserve">process payment, </w:t>
            </w:r>
            <w:r w:rsidRPr="00A75AA3">
              <w:rPr>
                <w:rFonts w:eastAsiaTheme="minorHAnsi" w:cs="Arial"/>
                <w:i/>
                <w:szCs w:val="24"/>
              </w:rPr>
              <w:t>support and QA deployments accordingly.</w:t>
            </w:r>
          </w:p>
          <w:p w:rsidR="00E74CFC" w:rsidRPr="00A75AA3" w:rsidRDefault="00E74CFC" w:rsidP="00C73186">
            <w:pPr>
              <w:widowControl/>
              <w:numPr>
                <w:ilvl w:val="0"/>
                <w:numId w:val="15"/>
              </w:numPr>
              <w:overflowPunct/>
              <w:autoSpaceDE/>
              <w:autoSpaceDN/>
              <w:adjustRightInd/>
              <w:spacing w:after="200" w:line="276" w:lineRule="auto"/>
              <w:contextualSpacing/>
              <w:textAlignment w:val="auto"/>
              <w:rPr>
                <w:rFonts w:eastAsiaTheme="minorHAnsi" w:cs="Arial"/>
                <w:i/>
                <w:szCs w:val="24"/>
              </w:rPr>
            </w:pPr>
            <w:r w:rsidRPr="00A75AA3">
              <w:rPr>
                <w:rFonts w:eastAsiaTheme="minorHAnsi" w:cs="Arial"/>
                <w:i/>
                <w:szCs w:val="24"/>
              </w:rPr>
              <w:t xml:space="preserve">TSA will offer training and professional development </w:t>
            </w:r>
          </w:p>
        </w:tc>
      </w:tr>
      <w:tr w:rsidR="00F915BB" w:rsidRPr="00A75AA3" w:rsidTr="009D7E4E">
        <w:tc>
          <w:tcPr>
            <w:tcW w:w="1951" w:type="dxa"/>
          </w:tcPr>
          <w:p w:rsidR="00F915BB" w:rsidRPr="00A75AA3" w:rsidRDefault="00F915BB" w:rsidP="00AF1C07">
            <w:pPr>
              <w:pStyle w:val="DeptBullets"/>
              <w:numPr>
                <w:ilvl w:val="0"/>
                <w:numId w:val="0"/>
              </w:numPr>
              <w:rPr>
                <w:rFonts w:cs="Arial"/>
                <w:b/>
                <w:szCs w:val="24"/>
              </w:rPr>
            </w:pPr>
            <w:r w:rsidRPr="00A75AA3">
              <w:rPr>
                <w:rFonts w:cs="Arial"/>
                <w:b/>
                <w:szCs w:val="24"/>
              </w:rPr>
              <w:lastRenderedPageBreak/>
              <w:t xml:space="preserve">Application and selection </w:t>
            </w:r>
          </w:p>
        </w:tc>
        <w:tc>
          <w:tcPr>
            <w:tcW w:w="6521" w:type="dxa"/>
          </w:tcPr>
          <w:p w:rsidR="00F915BB" w:rsidRPr="00A75AA3" w:rsidRDefault="006F1250" w:rsidP="00F915BB">
            <w:pPr>
              <w:pStyle w:val="DeptBullets"/>
              <w:numPr>
                <w:ilvl w:val="0"/>
                <w:numId w:val="0"/>
              </w:numPr>
              <w:rPr>
                <w:rFonts w:cs="Arial"/>
                <w:i/>
                <w:szCs w:val="24"/>
              </w:rPr>
            </w:pPr>
            <w:r w:rsidRPr="00A75AA3">
              <w:rPr>
                <w:rFonts w:cs="Arial"/>
                <w:i/>
                <w:szCs w:val="24"/>
              </w:rPr>
              <w:t>TSAs should use local intelligence and data to forecast demand and recruit according to need.</w:t>
            </w:r>
          </w:p>
        </w:tc>
        <w:tc>
          <w:tcPr>
            <w:tcW w:w="7087" w:type="dxa"/>
          </w:tcPr>
          <w:p w:rsidR="00F915BB" w:rsidRPr="00A75AA3" w:rsidRDefault="00C73186" w:rsidP="009D7E4E">
            <w:pPr>
              <w:pStyle w:val="DeptBullets"/>
              <w:numPr>
                <w:ilvl w:val="0"/>
                <w:numId w:val="0"/>
              </w:numPr>
              <w:rPr>
                <w:rFonts w:cs="Arial"/>
                <w:i/>
                <w:szCs w:val="24"/>
              </w:rPr>
            </w:pPr>
            <w:r w:rsidRPr="00A75AA3">
              <w:rPr>
                <w:rFonts w:cs="Arial"/>
                <w:i/>
                <w:szCs w:val="24"/>
              </w:rPr>
              <w:t>Application should be made through an application form and references will be requested.  An assessment day would be held to assess skills and competencies required for successful school to school support.</w:t>
            </w:r>
          </w:p>
          <w:p w:rsidR="000F5B22" w:rsidRPr="00A75AA3" w:rsidRDefault="000F5B22" w:rsidP="009D7E4E">
            <w:pPr>
              <w:pStyle w:val="DeptBullets"/>
              <w:numPr>
                <w:ilvl w:val="0"/>
                <w:numId w:val="0"/>
              </w:numPr>
              <w:rPr>
                <w:rFonts w:cs="Arial"/>
                <w:i/>
                <w:szCs w:val="24"/>
              </w:rPr>
            </w:pPr>
            <w:r w:rsidRPr="00A75AA3">
              <w:rPr>
                <w:rFonts w:cs="Arial"/>
                <w:i/>
                <w:szCs w:val="24"/>
              </w:rPr>
              <w:t xml:space="preserve">TSC will provide a set of competencies and a regional application form / assessment grid to support recruitment </w:t>
            </w:r>
            <w:r w:rsidRPr="00A75AA3">
              <w:rPr>
                <w:rFonts w:cs="Arial"/>
                <w:i/>
                <w:szCs w:val="24"/>
              </w:rPr>
              <w:lastRenderedPageBreak/>
              <w:t xml:space="preserve">process. </w:t>
            </w:r>
          </w:p>
          <w:p w:rsidR="000F5B22" w:rsidRPr="00A75AA3" w:rsidRDefault="00BD27E7" w:rsidP="009D7E4E">
            <w:pPr>
              <w:pStyle w:val="DeptBullets"/>
              <w:numPr>
                <w:ilvl w:val="0"/>
                <w:numId w:val="0"/>
              </w:numPr>
              <w:rPr>
                <w:rFonts w:cs="Arial"/>
                <w:i/>
                <w:szCs w:val="24"/>
              </w:rPr>
            </w:pPr>
            <w:r w:rsidRPr="00A75AA3">
              <w:rPr>
                <w:rFonts w:cs="Arial"/>
                <w:i/>
                <w:szCs w:val="24"/>
              </w:rPr>
              <w:t>NLEs and experienced system leaders should be involved in the recruitment and selection process.  It is strongly advised that a representative from another TSA sits on the panel.</w:t>
            </w:r>
          </w:p>
        </w:tc>
      </w:tr>
      <w:tr w:rsidR="009D7E4E" w:rsidRPr="00A75AA3" w:rsidTr="009D7E4E">
        <w:tc>
          <w:tcPr>
            <w:tcW w:w="1951" w:type="dxa"/>
          </w:tcPr>
          <w:p w:rsidR="009D7E4E" w:rsidRPr="00A75AA3" w:rsidRDefault="00F915BB" w:rsidP="00AF1C07">
            <w:pPr>
              <w:pStyle w:val="DeptBullets"/>
              <w:numPr>
                <w:ilvl w:val="0"/>
                <w:numId w:val="0"/>
              </w:numPr>
              <w:rPr>
                <w:rFonts w:cs="Arial"/>
                <w:b/>
                <w:szCs w:val="24"/>
              </w:rPr>
            </w:pPr>
            <w:r w:rsidRPr="00A75AA3">
              <w:rPr>
                <w:rFonts w:cs="Arial"/>
                <w:b/>
                <w:szCs w:val="24"/>
              </w:rPr>
              <w:lastRenderedPageBreak/>
              <w:t>I</w:t>
            </w:r>
            <w:r w:rsidR="009D7E4E" w:rsidRPr="00A75AA3">
              <w:rPr>
                <w:rFonts w:cs="Arial"/>
                <w:b/>
                <w:szCs w:val="24"/>
              </w:rPr>
              <w:t>nduction</w:t>
            </w:r>
            <w:r w:rsidRPr="00A75AA3">
              <w:rPr>
                <w:rFonts w:cs="Arial"/>
                <w:b/>
                <w:szCs w:val="24"/>
              </w:rPr>
              <w:t xml:space="preserve"> and training</w:t>
            </w:r>
          </w:p>
        </w:tc>
        <w:tc>
          <w:tcPr>
            <w:tcW w:w="6521" w:type="dxa"/>
          </w:tcPr>
          <w:p w:rsidR="009D7E4E" w:rsidRPr="00A75AA3" w:rsidRDefault="006F1250" w:rsidP="009D7E4E">
            <w:pPr>
              <w:pStyle w:val="DeptBullets"/>
              <w:numPr>
                <w:ilvl w:val="0"/>
                <w:numId w:val="0"/>
              </w:numPr>
              <w:rPr>
                <w:rFonts w:cs="Arial"/>
                <w:i/>
                <w:szCs w:val="24"/>
              </w:rPr>
            </w:pPr>
            <w:r w:rsidRPr="00A75AA3">
              <w:rPr>
                <w:rFonts w:cs="Arial"/>
                <w:i/>
                <w:szCs w:val="24"/>
              </w:rPr>
              <w:t>TSAs should work collaboratively to offer high quality induction and ongoing training.</w:t>
            </w:r>
          </w:p>
        </w:tc>
        <w:tc>
          <w:tcPr>
            <w:tcW w:w="7087" w:type="dxa"/>
          </w:tcPr>
          <w:p w:rsidR="001532BD" w:rsidRPr="00A75AA3" w:rsidRDefault="00A75AA3" w:rsidP="009D7E4E">
            <w:pPr>
              <w:pStyle w:val="DeptBullets"/>
              <w:numPr>
                <w:ilvl w:val="0"/>
                <w:numId w:val="0"/>
              </w:numPr>
              <w:rPr>
                <w:rFonts w:cs="Arial"/>
                <w:i/>
                <w:szCs w:val="24"/>
              </w:rPr>
            </w:pPr>
            <w:r w:rsidRPr="00A75AA3">
              <w:rPr>
                <w:rFonts w:cs="Arial"/>
                <w:i/>
                <w:szCs w:val="24"/>
              </w:rPr>
              <w:t>All TSAs sh</w:t>
            </w:r>
            <w:r w:rsidR="00BD27E7" w:rsidRPr="00A75AA3">
              <w:rPr>
                <w:rFonts w:cs="Arial"/>
                <w:i/>
                <w:szCs w:val="24"/>
              </w:rPr>
              <w:t>ould offer an induction session</w:t>
            </w:r>
            <w:r w:rsidR="0087181C" w:rsidRPr="00A75AA3">
              <w:rPr>
                <w:rFonts w:cs="Arial"/>
                <w:i/>
                <w:szCs w:val="24"/>
              </w:rPr>
              <w:t xml:space="preserve">.  </w:t>
            </w:r>
            <w:r w:rsidRPr="00A75AA3">
              <w:rPr>
                <w:rFonts w:cs="Arial"/>
                <w:i/>
                <w:szCs w:val="24"/>
              </w:rPr>
              <w:t xml:space="preserve">This may be offered in partnership with other TSAs locally. </w:t>
            </w:r>
            <w:r w:rsidR="0087181C" w:rsidRPr="00A75AA3">
              <w:rPr>
                <w:rFonts w:cs="Arial"/>
                <w:i/>
                <w:szCs w:val="24"/>
              </w:rPr>
              <w:t xml:space="preserve">TSAs would provide a Memorandum of Understanding which agrees the relationship between the system leader and the TSA.  </w:t>
            </w:r>
          </w:p>
        </w:tc>
      </w:tr>
      <w:tr w:rsidR="009D7E4E" w:rsidRPr="00A75AA3" w:rsidTr="009D7E4E">
        <w:tc>
          <w:tcPr>
            <w:tcW w:w="1951" w:type="dxa"/>
          </w:tcPr>
          <w:p w:rsidR="009D7E4E" w:rsidRPr="00A75AA3" w:rsidRDefault="009D7E4E" w:rsidP="00AF1C07">
            <w:pPr>
              <w:pStyle w:val="DeptBullets"/>
              <w:numPr>
                <w:ilvl w:val="0"/>
                <w:numId w:val="0"/>
              </w:numPr>
              <w:rPr>
                <w:rFonts w:cs="Arial"/>
                <w:b/>
                <w:szCs w:val="24"/>
              </w:rPr>
            </w:pPr>
            <w:r w:rsidRPr="00A75AA3">
              <w:rPr>
                <w:rFonts w:cs="Arial"/>
                <w:b/>
                <w:szCs w:val="24"/>
              </w:rPr>
              <w:t>Commissioning</w:t>
            </w:r>
          </w:p>
        </w:tc>
        <w:tc>
          <w:tcPr>
            <w:tcW w:w="6521" w:type="dxa"/>
          </w:tcPr>
          <w:p w:rsidR="009D7E4E" w:rsidRPr="00A75AA3" w:rsidRDefault="006F1250" w:rsidP="009D7E4E">
            <w:pPr>
              <w:pStyle w:val="DeptBullets"/>
              <w:numPr>
                <w:ilvl w:val="0"/>
                <w:numId w:val="0"/>
              </w:numPr>
              <w:rPr>
                <w:rFonts w:cs="Arial"/>
                <w:i/>
                <w:szCs w:val="24"/>
              </w:rPr>
            </w:pPr>
            <w:r w:rsidRPr="00A75AA3">
              <w:rPr>
                <w:rFonts w:cs="Arial"/>
                <w:i/>
                <w:szCs w:val="24"/>
              </w:rPr>
              <w:t xml:space="preserve">TSAs should develop commissioning models with local and regional </w:t>
            </w:r>
            <w:r w:rsidR="005E17FE" w:rsidRPr="00A75AA3">
              <w:rPr>
                <w:rFonts w:cs="Arial"/>
                <w:i/>
                <w:szCs w:val="24"/>
              </w:rPr>
              <w:t>clients.</w:t>
            </w:r>
          </w:p>
        </w:tc>
        <w:tc>
          <w:tcPr>
            <w:tcW w:w="7087" w:type="dxa"/>
          </w:tcPr>
          <w:p w:rsidR="009D7E4E" w:rsidRPr="00A75AA3" w:rsidRDefault="00C10AEF" w:rsidP="009D7E4E">
            <w:pPr>
              <w:pStyle w:val="DeptBullets"/>
              <w:numPr>
                <w:ilvl w:val="0"/>
                <w:numId w:val="0"/>
              </w:numPr>
              <w:rPr>
                <w:rFonts w:cs="Arial"/>
                <w:i/>
                <w:szCs w:val="24"/>
              </w:rPr>
            </w:pPr>
            <w:r w:rsidRPr="00A75AA3">
              <w:rPr>
                <w:rFonts w:cs="Arial"/>
                <w:i/>
                <w:szCs w:val="24"/>
              </w:rPr>
              <w:t>Principles for commissioning:</w:t>
            </w:r>
          </w:p>
          <w:p w:rsidR="00C10AEF" w:rsidRPr="00A75AA3" w:rsidRDefault="00C10AEF" w:rsidP="00C10AEF">
            <w:pPr>
              <w:pStyle w:val="DeptBullets"/>
              <w:numPr>
                <w:ilvl w:val="0"/>
                <w:numId w:val="18"/>
              </w:numPr>
              <w:rPr>
                <w:rFonts w:cs="Arial"/>
                <w:i/>
                <w:szCs w:val="24"/>
              </w:rPr>
            </w:pPr>
            <w:r w:rsidRPr="00A75AA3">
              <w:rPr>
                <w:rFonts w:cs="Arial"/>
                <w:i/>
                <w:szCs w:val="24"/>
              </w:rPr>
              <w:t xml:space="preserve">Requests for deployment should be channelled through a single mechanism </w:t>
            </w:r>
          </w:p>
          <w:p w:rsidR="00C10AEF" w:rsidRPr="00A75AA3" w:rsidRDefault="00C10AEF" w:rsidP="00C10AEF">
            <w:pPr>
              <w:pStyle w:val="DeptBullets"/>
              <w:numPr>
                <w:ilvl w:val="0"/>
                <w:numId w:val="18"/>
              </w:numPr>
              <w:rPr>
                <w:rFonts w:cs="Arial"/>
                <w:i/>
                <w:szCs w:val="24"/>
              </w:rPr>
            </w:pPr>
            <w:r w:rsidRPr="00A75AA3">
              <w:rPr>
                <w:rFonts w:cs="Arial"/>
                <w:i/>
                <w:szCs w:val="24"/>
              </w:rPr>
              <w:t xml:space="preserve">A clear overview of the process should be provided to ensure the client and system leader have clarity on expectations </w:t>
            </w:r>
          </w:p>
          <w:p w:rsidR="00C10AEF" w:rsidRPr="00A75AA3" w:rsidRDefault="00C10AEF" w:rsidP="00C10AEF">
            <w:pPr>
              <w:pStyle w:val="DeptBullets"/>
              <w:numPr>
                <w:ilvl w:val="0"/>
                <w:numId w:val="18"/>
              </w:numPr>
              <w:rPr>
                <w:rFonts w:cs="Arial"/>
                <w:szCs w:val="24"/>
              </w:rPr>
            </w:pPr>
            <w:r w:rsidRPr="00A75AA3">
              <w:rPr>
                <w:rFonts w:cs="Arial"/>
                <w:i/>
                <w:szCs w:val="24"/>
              </w:rPr>
              <w:t>Basic information should be sought to ensure appropriate matching</w:t>
            </w:r>
            <w:r w:rsidRPr="00A75AA3">
              <w:rPr>
                <w:rFonts w:cs="Arial"/>
                <w:szCs w:val="24"/>
              </w:rPr>
              <w:t xml:space="preserve"> </w:t>
            </w:r>
          </w:p>
        </w:tc>
      </w:tr>
      <w:tr w:rsidR="009D7E4E" w:rsidRPr="00A75AA3" w:rsidTr="009D7E4E">
        <w:tc>
          <w:tcPr>
            <w:tcW w:w="1951" w:type="dxa"/>
          </w:tcPr>
          <w:p w:rsidR="009D7E4E" w:rsidRPr="00A75AA3" w:rsidRDefault="009D7E4E" w:rsidP="00AF1C07">
            <w:pPr>
              <w:pStyle w:val="DeptBullets"/>
              <w:numPr>
                <w:ilvl w:val="0"/>
                <w:numId w:val="0"/>
              </w:numPr>
              <w:rPr>
                <w:rFonts w:cs="Arial"/>
                <w:b/>
                <w:szCs w:val="24"/>
              </w:rPr>
            </w:pPr>
            <w:r w:rsidRPr="00A75AA3">
              <w:rPr>
                <w:rFonts w:cs="Arial"/>
                <w:b/>
                <w:szCs w:val="24"/>
              </w:rPr>
              <w:t>Deployment</w:t>
            </w:r>
          </w:p>
        </w:tc>
        <w:tc>
          <w:tcPr>
            <w:tcW w:w="6521" w:type="dxa"/>
          </w:tcPr>
          <w:p w:rsidR="009D7E4E" w:rsidRPr="00A75AA3" w:rsidRDefault="005E17FE" w:rsidP="009D7E4E">
            <w:pPr>
              <w:pStyle w:val="DeptBullets"/>
              <w:numPr>
                <w:ilvl w:val="0"/>
                <w:numId w:val="0"/>
              </w:numPr>
              <w:rPr>
                <w:rFonts w:cs="Arial"/>
                <w:i/>
                <w:szCs w:val="24"/>
              </w:rPr>
            </w:pPr>
            <w:r w:rsidRPr="00A75AA3">
              <w:rPr>
                <w:rFonts w:cs="Arial"/>
                <w:i/>
                <w:szCs w:val="24"/>
              </w:rPr>
              <w:t>TSAs should develop protocols and systems to manage deployment in line with documentation used with SLEs/NLEs</w:t>
            </w:r>
          </w:p>
        </w:tc>
        <w:tc>
          <w:tcPr>
            <w:tcW w:w="7087" w:type="dxa"/>
          </w:tcPr>
          <w:p w:rsidR="008B4B05" w:rsidRPr="00A75AA3" w:rsidRDefault="00C10AEF" w:rsidP="009D7E4E">
            <w:pPr>
              <w:pStyle w:val="DeptBullets"/>
              <w:numPr>
                <w:ilvl w:val="0"/>
                <w:numId w:val="0"/>
              </w:numPr>
              <w:rPr>
                <w:rFonts w:cs="Arial"/>
                <w:i/>
                <w:szCs w:val="24"/>
              </w:rPr>
            </w:pPr>
            <w:r w:rsidRPr="00A75AA3">
              <w:rPr>
                <w:rFonts w:cs="Arial"/>
                <w:i/>
                <w:szCs w:val="24"/>
              </w:rPr>
              <w:t xml:space="preserve">Documentation would include contract/action plan, notes of visit, </w:t>
            </w:r>
            <w:r w:rsidR="0087181C" w:rsidRPr="00A75AA3">
              <w:rPr>
                <w:rFonts w:cs="Arial"/>
                <w:i/>
                <w:szCs w:val="24"/>
              </w:rPr>
              <w:t xml:space="preserve">evaluation, cause of concern, process and payment contract.  Ideally protocols would be developed to ensure consistency. </w:t>
            </w:r>
          </w:p>
        </w:tc>
      </w:tr>
      <w:tr w:rsidR="009D7E4E" w:rsidRPr="00A75AA3" w:rsidTr="009D7E4E">
        <w:tc>
          <w:tcPr>
            <w:tcW w:w="1951" w:type="dxa"/>
          </w:tcPr>
          <w:p w:rsidR="009D7E4E" w:rsidRPr="00A75AA3" w:rsidRDefault="009D7E4E" w:rsidP="00AF1C07">
            <w:pPr>
              <w:pStyle w:val="DeptBullets"/>
              <w:numPr>
                <w:ilvl w:val="0"/>
                <w:numId w:val="0"/>
              </w:numPr>
              <w:rPr>
                <w:rFonts w:cs="Arial"/>
                <w:b/>
                <w:szCs w:val="24"/>
              </w:rPr>
            </w:pPr>
            <w:r w:rsidRPr="00A75AA3">
              <w:rPr>
                <w:rFonts w:cs="Arial"/>
                <w:b/>
                <w:szCs w:val="24"/>
              </w:rPr>
              <w:t>Quality assurance</w:t>
            </w:r>
          </w:p>
        </w:tc>
        <w:tc>
          <w:tcPr>
            <w:tcW w:w="6521" w:type="dxa"/>
          </w:tcPr>
          <w:p w:rsidR="009D7E4E" w:rsidRPr="00A75AA3" w:rsidRDefault="005E17FE" w:rsidP="009D7E4E">
            <w:pPr>
              <w:pStyle w:val="DeptBullets"/>
              <w:numPr>
                <w:ilvl w:val="0"/>
                <w:numId w:val="0"/>
              </w:numPr>
              <w:rPr>
                <w:rFonts w:cs="Arial"/>
                <w:i/>
                <w:szCs w:val="24"/>
              </w:rPr>
            </w:pPr>
            <w:r w:rsidRPr="00A75AA3">
              <w:rPr>
                <w:rFonts w:cs="Arial"/>
                <w:i/>
                <w:szCs w:val="24"/>
              </w:rPr>
              <w:t>TSAs should develop and implement processes for quality assurance in line with systems used with SLEs/NLEs</w:t>
            </w:r>
          </w:p>
        </w:tc>
        <w:tc>
          <w:tcPr>
            <w:tcW w:w="7087" w:type="dxa"/>
          </w:tcPr>
          <w:p w:rsidR="009D7E4E" w:rsidRPr="00A75AA3" w:rsidRDefault="0087181C" w:rsidP="009D7E4E">
            <w:pPr>
              <w:pStyle w:val="DeptBullets"/>
              <w:numPr>
                <w:ilvl w:val="0"/>
                <w:numId w:val="0"/>
              </w:numPr>
              <w:rPr>
                <w:rFonts w:cs="Arial"/>
                <w:i/>
                <w:szCs w:val="24"/>
              </w:rPr>
            </w:pPr>
            <w:r w:rsidRPr="00A75AA3">
              <w:rPr>
                <w:rFonts w:cs="Arial"/>
                <w:i/>
                <w:szCs w:val="24"/>
              </w:rPr>
              <w:t>Principles for QA:</w:t>
            </w:r>
          </w:p>
          <w:p w:rsidR="009B7F00" w:rsidRPr="00A75AA3" w:rsidRDefault="009B7F00" w:rsidP="009B7F00">
            <w:pPr>
              <w:pStyle w:val="DeptBullets"/>
              <w:numPr>
                <w:ilvl w:val="0"/>
                <w:numId w:val="19"/>
              </w:numPr>
              <w:rPr>
                <w:rFonts w:cs="Arial"/>
                <w:i/>
                <w:szCs w:val="24"/>
              </w:rPr>
            </w:pPr>
            <w:r w:rsidRPr="00A75AA3">
              <w:rPr>
                <w:rFonts w:cs="Arial"/>
                <w:i/>
                <w:szCs w:val="24"/>
              </w:rPr>
              <w:t xml:space="preserve">Opportunities for client and system leader to feedback </w:t>
            </w:r>
            <w:r w:rsidRPr="00A75AA3">
              <w:rPr>
                <w:rFonts w:cs="Arial"/>
                <w:i/>
                <w:szCs w:val="24"/>
              </w:rPr>
              <w:lastRenderedPageBreak/>
              <w:t>must be offered.</w:t>
            </w:r>
          </w:p>
          <w:p w:rsidR="009B7F00" w:rsidRPr="00A75AA3" w:rsidRDefault="009B7F00" w:rsidP="009B7F00">
            <w:pPr>
              <w:pStyle w:val="DeptBullets"/>
              <w:numPr>
                <w:ilvl w:val="0"/>
                <w:numId w:val="19"/>
              </w:numPr>
              <w:rPr>
                <w:rFonts w:cs="Arial"/>
                <w:i/>
                <w:szCs w:val="24"/>
              </w:rPr>
            </w:pPr>
            <w:r w:rsidRPr="00A75AA3">
              <w:rPr>
                <w:rFonts w:cs="Arial"/>
                <w:i/>
                <w:szCs w:val="24"/>
              </w:rPr>
              <w:t xml:space="preserve">A mechanism for measuring impact should be provided </w:t>
            </w:r>
          </w:p>
          <w:p w:rsidR="0087181C" w:rsidRPr="00A75AA3" w:rsidRDefault="009B7F00" w:rsidP="009B7F00">
            <w:pPr>
              <w:pStyle w:val="DeptBullets"/>
              <w:numPr>
                <w:ilvl w:val="0"/>
                <w:numId w:val="19"/>
              </w:numPr>
              <w:rPr>
                <w:rFonts w:cs="Arial"/>
                <w:i/>
                <w:szCs w:val="24"/>
              </w:rPr>
            </w:pPr>
            <w:r w:rsidRPr="00A75AA3">
              <w:rPr>
                <w:rFonts w:cs="Arial"/>
                <w:i/>
                <w:szCs w:val="24"/>
              </w:rPr>
              <w:t>QA may include feedback templates, visits, mid deployment reviews, peer review</w:t>
            </w:r>
          </w:p>
          <w:p w:rsidR="00710FAD" w:rsidRPr="00A75AA3" w:rsidRDefault="00710FAD" w:rsidP="009B7F00">
            <w:pPr>
              <w:pStyle w:val="DeptBullets"/>
              <w:numPr>
                <w:ilvl w:val="0"/>
                <w:numId w:val="19"/>
              </w:numPr>
              <w:rPr>
                <w:rFonts w:cs="Arial"/>
                <w:i/>
                <w:szCs w:val="24"/>
              </w:rPr>
            </w:pPr>
            <w:r w:rsidRPr="00A75AA3">
              <w:rPr>
                <w:rFonts w:cs="Arial"/>
                <w:i/>
                <w:szCs w:val="24"/>
              </w:rPr>
              <w:t xml:space="preserve">TSAs would manage appeals and review of designation </w:t>
            </w:r>
          </w:p>
        </w:tc>
      </w:tr>
    </w:tbl>
    <w:p w:rsidR="00E5210F" w:rsidRPr="00A75AA3" w:rsidRDefault="00E5210F" w:rsidP="00AF1C07">
      <w:pPr>
        <w:pStyle w:val="DeptBullets"/>
        <w:numPr>
          <w:ilvl w:val="0"/>
          <w:numId w:val="0"/>
        </w:numPr>
        <w:rPr>
          <w:rFonts w:cs="Arial"/>
          <w:szCs w:val="24"/>
        </w:rPr>
      </w:pPr>
    </w:p>
    <w:p w:rsidR="00CA46D3" w:rsidRPr="00A75AA3" w:rsidRDefault="00D62A29" w:rsidP="00D62A29">
      <w:pPr>
        <w:pStyle w:val="DeptBullets"/>
        <w:numPr>
          <w:ilvl w:val="0"/>
          <w:numId w:val="0"/>
        </w:numPr>
        <w:rPr>
          <w:rFonts w:cs="Arial"/>
          <w:szCs w:val="24"/>
        </w:rPr>
      </w:pPr>
      <w:r w:rsidRPr="00A75AA3">
        <w:rPr>
          <w:rFonts w:cs="Arial"/>
          <w:szCs w:val="24"/>
        </w:rPr>
        <w:t>As a TSA involved in the pilot and with successful outcom</w:t>
      </w:r>
      <w:r w:rsidR="00A75AA3">
        <w:rPr>
          <w:rFonts w:cs="Arial"/>
          <w:szCs w:val="24"/>
        </w:rPr>
        <w:t xml:space="preserve">es Partners in Learning TSA in partnership with </w:t>
      </w:r>
      <w:r w:rsidRPr="00A75AA3">
        <w:rPr>
          <w:rFonts w:cs="Arial"/>
          <w:szCs w:val="24"/>
        </w:rPr>
        <w:t xml:space="preserve">TSC will offer training for regional teaching schools on aspects of the above.   </w:t>
      </w:r>
    </w:p>
    <w:p w:rsidR="003D6637" w:rsidRDefault="00613A72" w:rsidP="00D62A29">
      <w:pPr>
        <w:pStyle w:val="DeptBullets"/>
        <w:numPr>
          <w:ilvl w:val="0"/>
          <w:numId w:val="0"/>
        </w:numPr>
        <w:rPr>
          <w:rFonts w:cs="Arial"/>
          <w:szCs w:val="24"/>
        </w:rPr>
      </w:pPr>
      <w:r>
        <w:rPr>
          <w:rFonts w:cs="Arial"/>
          <w:szCs w:val="24"/>
        </w:rPr>
        <w:t>TSAs will be invited to apply for a place with booking via Partners in Learning</w:t>
      </w:r>
      <w:r w:rsidR="003D6637" w:rsidRPr="00A75AA3">
        <w:rPr>
          <w:rFonts w:cs="Arial"/>
          <w:szCs w:val="24"/>
        </w:rPr>
        <w:t xml:space="preserve"> website</w:t>
      </w:r>
      <w:r>
        <w:rPr>
          <w:rFonts w:cs="Arial"/>
          <w:szCs w:val="24"/>
        </w:rPr>
        <w:t xml:space="preserve">. </w:t>
      </w:r>
      <w:r w:rsidR="003D6637" w:rsidRPr="00A75AA3">
        <w:rPr>
          <w:rFonts w:cs="Arial"/>
          <w:szCs w:val="24"/>
        </w:rPr>
        <w:t xml:space="preserve"> Training will take place on 22 </w:t>
      </w:r>
      <w:r>
        <w:rPr>
          <w:rFonts w:cs="Arial"/>
          <w:szCs w:val="24"/>
        </w:rPr>
        <w:t xml:space="preserve">March at </w:t>
      </w:r>
      <w:r w:rsidR="003D6637" w:rsidRPr="00A75AA3">
        <w:rPr>
          <w:rFonts w:cs="Arial"/>
          <w:szCs w:val="24"/>
        </w:rPr>
        <w:t>Plover Primary School</w:t>
      </w:r>
      <w:r>
        <w:rPr>
          <w:rFonts w:cs="Arial"/>
          <w:szCs w:val="24"/>
        </w:rPr>
        <w:t xml:space="preserve">, Doncaster and </w:t>
      </w:r>
      <w:r w:rsidRPr="00A75AA3">
        <w:rPr>
          <w:rFonts w:cs="Arial"/>
          <w:szCs w:val="24"/>
        </w:rPr>
        <w:t>27</w:t>
      </w:r>
      <w:r w:rsidR="003D6637" w:rsidRPr="00A75AA3">
        <w:rPr>
          <w:rFonts w:cs="Arial"/>
          <w:szCs w:val="24"/>
        </w:rPr>
        <w:t xml:space="preserve"> March </w:t>
      </w:r>
      <w:r>
        <w:rPr>
          <w:rFonts w:cs="Arial"/>
          <w:szCs w:val="24"/>
        </w:rPr>
        <w:t xml:space="preserve">at </w:t>
      </w:r>
      <w:r w:rsidR="003D6637" w:rsidRPr="00A75AA3">
        <w:rPr>
          <w:rFonts w:cs="Arial"/>
          <w:szCs w:val="24"/>
        </w:rPr>
        <w:t>St Thomas of Canterbury Catholic Primary 10</w:t>
      </w:r>
      <w:r>
        <w:rPr>
          <w:rFonts w:cs="Arial"/>
          <w:szCs w:val="24"/>
        </w:rPr>
        <w:t xml:space="preserve">.00.15.00.  To cover associated costs a charge of </w:t>
      </w:r>
      <w:r w:rsidRPr="00A75AA3">
        <w:rPr>
          <w:rFonts w:cs="Arial"/>
          <w:szCs w:val="24"/>
        </w:rPr>
        <w:t>£</w:t>
      </w:r>
      <w:r w:rsidR="00BC6DBB" w:rsidRPr="00A75AA3">
        <w:rPr>
          <w:rFonts w:cs="Arial"/>
          <w:szCs w:val="24"/>
        </w:rPr>
        <w:t>100 per delegate</w:t>
      </w:r>
      <w:r>
        <w:rPr>
          <w:rFonts w:cs="Arial"/>
          <w:szCs w:val="24"/>
        </w:rPr>
        <w:t xml:space="preserve"> will be made</w:t>
      </w:r>
      <w:r w:rsidR="00BC6DBB" w:rsidRPr="00A75AA3">
        <w:rPr>
          <w:rFonts w:cs="Arial"/>
          <w:szCs w:val="24"/>
        </w:rPr>
        <w:t xml:space="preserve">. </w:t>
      </w:r>
      <w:r>
        <w:rPr>
          <w:rFonts w:cs="Arial"/>
          <w:szCs w:val="24"/>
        </w:rPr>
        <w:t>The purpose of these events will be to share r</w:t>
      </w:r>
      <w:r w:rsidR="00BC6DBB" w:rsidRPr="00A75AA3">
        <w:rPr>
          <w:rFonts w:cs="Arial"/>
          <w:szCs w:val="24"/>
        </w:rPr>
        <w:t>esources</w:t>
      </w:r>
      <w:r>
        <w:rPr>
          <w:rFonts w:cs="Arial"/>
          <w:szCs w:val="24"/>
        </w:rPr>
        <w:t>, processes</w:t>
      </w:r>
      <w:r w:rsidR="00BC6DBB" w:rsidRPr="00A75AA3">
        <w:rPr>
          <w:rFonts w:cs="Arial"/>
          <w:szCs w:val="24"/>
        </w:rPr>
        <w:t xml:space="preserve"> and pract</w:t>
      </w:r>
      <w:r>
        <w:rPr>
          <w:rFonts w:cs="Arial"/>
          <w:szCs w:val="24"/>
        </w:rPr>
        <w:t>ical examples.  Guidance and support will be offered in relation to:</w:t>
      </w:r>
    </w:p>
    <w:p w:rsidR="00613A72" w:rsidRDefault="00613A72" w:rsidP="00613A72">
      <w:pPr>
        <w:pStyle w:val="DeptBullets"/>
        <w:numPr>
          <w:ilvl w:val="0"/>
          <w:numId w:val="22"/>
        </w:numPr>
        <w:ind w:left="357" w:firstLine="0"/>
        <w:rPr>
          <w:rFonts w:cs="Arial"/>
          <w:szCs w:val="24"/>
        </w:rPr>
      </w:pPr>
      <w:r>
        <w:rPr>
          <w:rFonts w:cs="Arial"/>
          <w:szCs w:val="24"/>
        </w:rPr>
        <w:t>Designing and leading the recruitment and assessment process</w:t>
      </w:r>
    </w:p>
    <w:p w:rsidR="00613A72" w:rsidRDefault="00613A72" w:rsidP="00613A72">
      <w:pPr>
        <w:pStyle w:val="DeptBullets"/>
        <w:numPr>
          <w:ilvl w:val="0"/>
          <w:numId w:val="22"/>
        </w:numPr>
        <w:ind w:left="357" w:firstLine="0"/>
        <w:rPr>
          <w:rFonts w:cs="Arial"/>
          <w:szCs w:val="24"/>
        </w:rPr>
      </w:pPr>
      <w:r>
        <w:rPr>
          <w:rFonts w:cs="Arial"/>
          <w:szCs w:val="24"/>
        </w:rPr>
        <w:t>Planning and facilitation for induction and on-going professional development</w:t>
      </w:r>
    </w:p>
    <w:p w:rsidR="00613A72" w:rsidRDefault="00613A72" w:rsidP="00613A72">
      <w:pPr>
        <w:pStyle w:val="DeptBullets"/>
        <w:numPr>
          <w:ilvl w:val="0"/>
          <w:numId w:val="22"/>
        </w:numPr>
        <w:ind w:left="357" w:firstLine="0"/>
        <w:rPr>
          <w:rFonts w:cs="Arial"/>
          <w:szCs w:val="24"/>
        </w:rPr>
      </w:pPr>
      <w:r>
        <w:rPr>
          <w:rFonts w:cs="Arial"/>
          <w:szCs w:val="24"/>
        </w:rPr>
        <w:t>Processes for contracting and deployment</w:t>
      </w:r>
    </w:p>
    <w:p w:rsidR="00613A72" w:rsidRDefault="00613A72" w:rsidP="00613A72">
      <w:pPr>
        <w:pStyle w:val="DeptBullets"/>
        <w:numPr>
          <w:ilvl w:val="0"/>
          <w:numId w:val="22"/>
        </w:numPr>
        <w:ind w:left="357" w:firstLine="0"/>
        <w:rPr>
          <w:rFonts w:cs="Arial"/>
          <w:szCs w:val="24"/>
        </w:rPr>
      </w:pPr>
      <w:r>
        <w:rPr>
          <w:rFonts w:cs="Arial"/>
          <w:szCs w:val="24"/>
        </w:rPr>
        <w:t>Protocols to ensure consistency</w:t>
      </w:r>
    </w:p>
    <w:p w:rsidR="00613A72" w:rsidRDefault="00613A72" w:rsidP="00613A72">
      <w:pPr>
        <w:pStyle w:val="DeptBullets"/>
        <w:numPr>
          <w:ilvl w:val="0"/>
          <w:numId w:val="22"/>
        </w:numPr>
        <w:ind w:left="357" w:firstLine="0"/>
        <w:rPr>
          <w:rFonts w:cs="Arial"/>
          <w:szCs w:val="24"/>
        </w:rPr>
      </w:pPr>
      <w:r>
        <w:rPr>
          <w:rFonts w:cs="Arial"/>
          <w:szCs w:val="24"/>
        </w:rPr>
        <w:t>Quality assurance</w:t>
      </w:r>
    </w:p>
    <w:p w:rsidR="00613A72" w:rsidRDefault="00613A72" w:rsidP="00613A72">
      <w:pPr>
        <w:pStyle w:val="DeptBullets"/>
        <w:numPr>
          <w:ilvl w:val="0"/>
          <w:numId w:val="0"/>
        </w:numPr>
        <w:ind w:left="357"/>
        <w:rPr>
          <w:rFonts w:cs="Arial"/>
          <w:szCs w:val="24"/>
        </w:rPr>
      </w:pPr>
    </w:p>
    <w:p w:rsidR="006A0B37" w:rsidRDefault="006A0B37" w:rsidP="00613A72">
      <w:pPr>
        <w:pStyle w:val="DeptBullets"/>
        <w:numPr>
          <w:ilvl w:val="0"/>
          <w:numId w:val="0"/>
        </w:numPr>
        <w:ind w:left="357"/>
        <w:rPr>
          <w:rFonts w:cs="Arial"/>
          <w:szCs w:val="24"/>
        </w:rPr>
      </w:pPr>
    </w:p>
    <w:p w:rsidR="00613A72" w:rsidRPr="00613A72" w:rsidRDefault="006A0B37" w:rsidP="00D62A29">
      <w:pPr>
        <w:pStyle w:val="DeptBullets"/>
        <w:numPr>
          <w:ilvl w:val="0"/>
          <w:numId w:val="0"/>
        </w:numPr>
        <w:rPr>
          <w:rFonts w:cs="Arial"/>
          <w:b/>
          <w:szCs w:val="24"/>
        </w:rPr>
      </w:pPr>
      <w:r>
        <w:rPr>
          <w:rFonts w:cs="Arial"/>
          <w:b/>
          <w:szCs w:val="24"/>
        </w:rPr>
        <w:lastRenderedPageBreak/>
        <w:t>LLE (YH) Delivery Programme – Suggested Ti</w:t>
      </w:r>
      <w:r w:rsidR="00613A72" w:rsidRPr="00613A72">
        <w:rPr>
          <w:rFonts w:cs="Arial"/>
          <w:b/>
          <w:szCs w:val="24"/>
        </w:rPr>
        <w:t>meline</w:t>
      </w:r>
    </w:p>
    <w:tbl>
      <w:tblPr>
        <w:tblStyle w:val="TableGrid"/>
        <w:tblW w:w="0" w:type="auto"/>
        <w:tblLook w:val="04A0" w:firstRow="1" w:lastRow="0" w:firstColumn="1" w:lastColumn="0" w:noHBand="0" w:noVBand="1"/>
      </w:tblPr>
      <w:tblGrid>
        <w:gridCol w:w="8359"/>
        <w:gridCol w:w="6804"/>
      </w:tblGrid>
      <w:tr w:rsidR="006A0B37" w:rsidTr="006A0B37">
        <w:tc>
          <w:tcPr>
            <w:tcW w:w="8359" w:type="dxa"/>
          </w:tcPr>
          <w:p w:rsidR="006A0B37" w:rsidRPr="006A0B37" w:rsidRDefault="006A0B37" w:rsidP="00D62A29">
            <w:pPr>
              <w:pStyle w:val="DeptBullets"/>
              <w:numPr>
                <w:ilvl w:val="0"/>
                <w:numId w:val="0"/>
              </w:numPr>
              <w:rPr>
                <w:rFonts w:cs="Arial"/>
                <w:b/>
                <w:szCs w:val="24"/>
              </w:rPr>
            </w:pPr>
            <w:r w:rsidRPr="006A0B37">
              <w:rPr>
                <w:rFonts w:cs="Arial"/>
                <w:b/>
                <w:szCs w:val="24"/>
              </w:rPr>
              <w:t xml:space="preserve">Activity </w:t>
            </w:r>
          </w:p>
        </w:tc>
        <w:tc>
          <w:tcPr>
            <w:tcW w:w="6804" w:type="dxa"/>
          </w:tcPr>
          <w:p w:rsidR="006A0B37" w:rsidRPr="006A0B37" w:rsidRDefault="006A0B37" w:rsidP="00D62A29">
            <w:pPr>
              <w:pStyle w:val="DeptBullets"/>
              <w:numPr>
                <w:ilvl w:val="0"/>
                <w:numId w:val="0"/>
              </w:numPr>
              <w:rPr>
                <w:rFonts w:cs="Arial"/>
                <w:b/>
                <w:szCs w:val="24"/>
              </w:rPr>
            </w:pPr>
            <w:r w:rsidRPr="006A0B37">
              <w:rPr>
                <w:rFonts w:cs="Arial"/>
                <w:b/>
                <w:szCs w:val="24"/>
              </w:rPr>
              <w:t>Timescale</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Share regional delivery plan with TSAs</w:t>
            </w:r>
          </w:p>
        </w:tc>
        <w:tc>
          <w:tcPr>
            <w:tcW w:w="6804" w:type="dxa"/>
          </w:tcPr>
          <w:p w:rsidR="006A0B37" w:rsidRDefault="006A0B37" w:rsidP="00D62A29">
            <w:pPr>
              <w:pStyle w:val="DeptBullets"/>
              <w:numPr>
                <w:ilvl w:val="0"/>
                <w:numId w:val="0"/>
              </w:numPr>
              <w:rPr>
                <w:rFonts w:cs="Arial"/>
                <w:szCs w:val="24"/>
              </w:rPr>
            </w:pPr>
            <w:r>
              <w:rPr>
                <w:rFonts w:cs="Arial"/>
                <w:szCs w:val="24"/>
              </w:rPr>
              <w:t>Tuesday 31</w:t>
            </w:r>
            <w:r w:rsidRPr="00613A72">
              <w:rPr>
                <w:rFonts w:cs="Arial"/>
                <w:szCs w:val="24"/>
                <w:vertAlign w:val="superscript"/>
              </w:rPr>
              <w:t>st</w:t>
            </w:r>
            <w:r>
              <w:rPr>
                <w:rFonts w:cs="Arial"/>
                <w:szCs w:val="24"/>
              </w:rPr>
              <w:t xml:space="preserve"> January</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TSAs provide feedback</w:t>
            </w:r>
          </w:p>
        </w:tc>
        <w:tc>
          <w:tcPr>
            <w:tcW w:w="6804" w:type="dxa"/>
          </w:tcPr>
          <w:p w:rsidR="006A0B37" w:rsidRDefault="006A0B37" w:rsidP="00D62A29">
            <w:pPr>
              <w:pStyle w:val="DeptBullets"/>
              <w:numPr>
                <w:ilvl w:val="0"/>
                <w:numId w:val="0"/>
              </w:numPr>
              <w:rPr>
                <w:rFonts w:cs="Arial"/>
                <w:szCs w:val="24"/>
              </w:rPr>
            </w:pPr>
            <w:r>
              <w:rPr>
                <w:rFonts w:cs="Arial"/>
                <w:szCs w:val="24"/>
              </w:rPr>
              <w:t>Before Friday 10</w:t>
            </w:r>
            <w:r w:rsidRPr="006A0B37">
              <w:rPr>
                <w:rFonts w:cs="Arial"/>
                <w:szCs w:val="24"/>
                <w:vertAlign w:val="superscript"/>
              </w:rPr>
              <w:t>th</w:t>
            </w:r>
            <w:r>
              <w:rPr>
                <w:rFonts w:cs="Arial"/>
                <w:szCs w:val="24"/>
              </w:rPr>
              <w:t xml:space="preserve"> February</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TSAs invited to register for training and support</w:t>
            </w:r>
          </w:p>
        </w:tc>
        <w:tc>
          <w:tcPr>
            <w:tcW w:w="6804" w:type="dxa"/>
          </w:tcPr>
          <w:p w:rsidR="006A0B37" w:rsidRDefault="006A0B37" w:rsidP="00D62A29">
            <w:pPr>
              <w:pStyle w:val="DeptBullets"/>
              <w:numPr>
                <w:ilvl w:val="0"/>
                <w:numId w:val="0"/>
              </w:numPr>
              <w:rPr>
                <w:rFonts w:cs="Arial"/>
                <w:szCs w:val="24"/>
              </w:rPr>
            </w:pPr>
            <w:r>
              <w:rPr>
                <w:rFonts w:cs="Arial"/>
                <w:szCs w:val="24"/>
              </w:rPr>
              <w:t>Monday 13</w:t>
            </w:r>
            <w:r w:rsidRPr="006A0B37">
              <w:rPr>
                <w:rFonts w:cs="Arial"/>
                <w:szCs w:val="24"/>
                <w:vertAlign w:val="superscript"/>
              </w:rPr>
              <w:t>th</w:t>
            </w:r>
            <w:r>
              <w:rPr>
                <w:rFonts w:cs="Arial"/>
                <w:szCs w:val="24"/>
              </w:rPr>
              <w:t xml:space="preserve"> February – Friday 10</w:t>
            </w:r>
            <w:r w:rsidRPr="006A0B37">
              <w:rPr>
                <w:rFonts w:cs="Arial"/>
                <w:szCs w:val="24"/>
                <w:vertAlign w:val="superscript"/>
              </w:rPr>
              <w:t>th</w:t>
            </w:r>
            <w:r>
              <w:rPr>
                <w:rFonts w:cs="Arial"/>
                <w:szCs w:val="24"/>
              </w:rPr>
              <w:t xml:space="preserve"> March</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 xml:space="preserve">Materials </w:t>
            </w:r>
            <w:r w:rsidR="00B842C7">
              <w:rPr>
                <w:rFonts w:cs="Arial"/>
                <w:szCs w:val="24"/>
              </w:rPr>
              <w:t xml:space="preserve">to include competencies grid and application form </w:t>
            </w:r>
            <w:r>
              <w:rPr>
                <w:rFonts w:cs="Arial"/>
                <w:szCs w:val="24"/>
              </w:rPr>
              <w:t>available on YH TSC website with timeline and delivery plan</w:t>
            </w:r>
          </w:p>
        </w:tc>
        <w:tc>
          <w:tcPr>
            <w:tcW w:w="6804" w:type="dxa"/>
          </w:tcPr>
          <w:p w:rsidR="006A0B37" w:rsidRDefault="006A0B37" w:rsidP="00D62A29">
            <w:pPr>
              <w:pStyle w:val="DeptBullets"/>
              <w:numPr>
                <w:ilvl w:val="0"/>
                <w:numId w:val="0"/>
              </w:numPr>
              <w:rPr>
                <w:rFonts w:cs="Arial"/>
                <w:szCs w:val="24"/>
              </w:rPr>
            </w:pPr>
            <w:r>
              <w:rPr>
                <w:rFonts w:cs="Arial"/>
                <w:szCs w:val="24"/>
              </w:rPr>
              <w:t>February 2017</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Training provided by Partners in Learning</w:t>
            </w:r>
          </w:p>
        </w:tc>
        <w:tc>
          <w:tcPr>
            <w:tcW w:w="6804" w:type="dxa"/>
          </w:tcPr>
          <w:p w:rsidR="006A0B37" w:rsidRDefault="006A0B37" w:rsidP="00D62A29">
            <w:pPr>
              <w:pStyle w:val="DeptBullets"/>
              <w:numPr>
                <w:ilvl w:val="0"/>
                <w:numId w:val="0"/>
              </w:numPr>
              <w:rPr>
                <w:rFonts w:cs="Arial"/>
                <w:szCs w:val="24"/>
              </w:rPr>
            </w:pPr>
            <w:r>
              <w:rPr>
                <w:rFonts w:cs="Arial"/>
                <w:szCs w:val="24"/>
              </w:rPr>
              <w:t>Wednesday 22 March at Plover Primary School, Doncaster</w:t>
            </w:r>
          </w:p>
          <w:p w:rsidR="006A0B37" w:rsidRDefault="006A0B37" w:rsidP="00D62A29">
            <w:pPr>
              <w:pStyle w:val="DeptBullets"/>
              <w:numPr>
                <w:ilvl w:val="0"/>
                <w:numId w:val="0"/>
              </w:numPr>
              <w:rPr>
                <w:rFonts w:cs="Arial"/>
                <w:szCs w:val="24"/>
              </w:rPr>
            </w:pPr>
            <w:r>
              <w:rPr>
                <w:rFonts w:cs="Arial"/>
                <w:szCs w:val="24"/>
              </w:rPr>
              <w:t>Or</w:t>
            </w:r>
          </w:p>
          <w:p w:rsidR="006A0B37" w:rsidRDefault="006A0B37" w:rsidP="00D62A29">
            <w:pPr>
              <w:pStyle w:val="DeptBullets"/>
              <w:numPr>
                <w:ilvl w:val="0"/>
                <w:numId w:val="0"/>
              </w:numPr>
              <w:rPr>
                <w:rFonts w:cs="Arial"/>
                <w:szCs w:val="24"/>
              </w:rPr>
            </w:pPr>
            <w:r>
              <w:rPr>
                <w:rFonts w:cs="Arial"/>
                <w:szCs w:val="24"/>
              </w:rPr>
              <w:t>Monday 27</w:t>
            </w:r>
            <w:r w:rsidRPr="006A0B37">
              <w:rPr>
                <w:rFonts w:cs="Arial"/>
                <w:szCs w:val="24"/>
                <w:vertAlign w:val="superscript"/>
              </w:rPr>
              <w:t>th</w:t>
            </w:r>
            <w:r>
              <w:rPr>
                <w:rFonts w:cs="Arial"/>
                <w:szCs w:val="24"/>
              </w:rPr>
              <w:t xml:space="preserve"> March at St Thomas of Canterbury Catholic Primary School, Sheffield </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YH TSC Representative contacts current LLEs to invite them to associate with TSA</w:t>
            </w:r>
          </w:p>
          <w:p w:rsidR="006A0B37" w:rsidRDefault="006A0B37" w:rsidP="00D62A29">
            <w:pPr>
              <w:pStyle w:val="DeptBullets"/>
              <w:numPr>
                <w:ilvl w:val="0"/>
                <w:numId w:val="0"/>
              </w:numPr>
              <w:rPr>
                <w:rFonts w:cs="Arial"/>
                <w:szCs w:val="24"/>
              </w:rPr>
            </w:pPr>
            <w:r>
              <w:rPr>
                <w:rFonts w:cs="Arial"/>
                <w:szCs w:val="24"/>
              </w:rPr>
              <w:t xml:space="preserve">TSAs contact LLEs to invite them to associate </w:t>
            </w:r>
          </w:p>
        </w:tc>
        <w:tc>
          <w:tcPr>
            <w:tcW w:w="6804" w:type="dxa"/>
          </w:tcPr>
          <w:p w:rsidR="006A0B37" w:rsidRDefault="006A0B37" w:rsidP="00D62A29">
            <w:pPr>
              <w:pStyle w:val="DeptBullets"/>
              <w:numPr>
                <w:ilvl w:val="0"/>
                <w:numId w:val="0"/>
              </w:numPr>
              <w:rPr>
                <w:rFonts w:cs="Arial"/>
                <w:szCs w:val="24"/>
              </w:rPr>
            </w:pPr>
            <w:r>
              <w:rPr>
                <w:rFonts w:cs="Arial"/>
                <w:szCs w:val="24"/>
              </w:rPr>
              <w:t>March 2017</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TSAs audit to forecast need</w:t>
            </w:r>
          </w:p>
        </w:tc>
        <w:tc>
          <w:tcPr>
            <w:tcW w:w="6804" w:type="dxa"/>
          </w:tcPr>
          <w:p w:rsidR="006A0B37" w:rsidRDefault="006A0B37" w:rsidP="00D62A29">
            <w:pPr>
              <w:pStyle w:val="DeptBullets"/>
              <w:numPr>
                <w:ilvl w:val="0"/>
                <w:numId w:val="0"/>
              </w:numPr>
              <w:rPr>
                <w:rFonts w:cs="Arial"/>
                <w:szCs w:val="24"/>
              </w:rPr>
            </w:pPr>
            <w:r>
              <w:rPr>
                <w:rFonts w:cs="Arial"/>
                <w:szCs w:val="24"/>
              </w:rPr>
              <w:t>February – April 2017</w:t>
            </w:r>
          </w:p>
        </w:tc>
      </w:tr>
      <w:tr w:rsidR="006A0B37" w:rsidTr="006A0B37">
        <w:tc>
          <w:tcPr>
            <w:tcW w:w="8359" w:type="dxa"/>
          </w:tcPr>
          <w:p w:rsidR="006A0B37" w:rsidRDefault="006A0B37" w:rsidP="00D62A29">
            <w:pPr>
              <w:pStyle w:val="DeptBullets"/>
              <w:numPr>
                <w:ilvl w:val="0"/>
                <w:numId w:val="0"/>
              </w:numPr>
              <w:rPr>
                <w:rFonts w:cs="Arial"/>
                <w:szCs w:val="24"/>
              </w:rPr>
            </w:pPr>
            <w:r>
              <w:rPr>
                <w:rFonts w:cs="Arial"/>
                <w:szCs w:val="24"/>
              </w:rPr>
              <w:t>TSAs market, recruit and induct LLEs (YH)</w:t>
            </w:r>
          </w:p>
        </w:tc>
        <w:tc>
          <w:tcPr>
            <w:tcW w:w="6804" w:type="dxa"/>
          </w:tcPr>
          <w:p w:rsidR="006A0B37" w:rsidRDefault="006A0B37" w:rsidP="00D62A29">
            <w:pPr>
              <w:pStyle w:val="DeptBullets"/>
              <w:numPr>
                <w:ilvl w:val="0"/>
                <w:numId w:val="0"/>
              </w:numPr>
              <w:rPr>
                <w:rFonts w:cs="Arial"/>
                <w:szCs w:val="24"/>
              </w:rPr>
            </w:pPr>
            <w:r>
              <w:rPr>
                <w:rFonts w:cs="Arial"/>
                <w:szCs w:val="24"/>
              </w:rPr>
              <w:t xml:space="preserve">April 2017 onwards </w:t>
            </w:r>
          </w:p>
        </w:tc>
      </w:tr>
    </w:tbl>
    <w:p w:rsidR="003D6637" w:rsidRDefault="003D6637" w:rsidP="00D62A29">
      <w:pPr>
        <w:pStyle w:val="DeptBullets"/>
        <w:numPr>
          <w:ilvl w:val="0"/>
          <w:numId w:val="0"/>
        </w:numPr>
        <w:rPr>
          <w:rFonts w:cs="Arial"/>
          <w:szCs w:val="24"/>
        </w:rPr>
      </w:pPr>
    </w:p>
    <w:p w:rsidR="00B842C7" w:rsidRPr="00B842C7" w:rsidRDefault="00B842C7" w:rsidP="00D62A29">
      <w:pPr>
        <w:pStyle w:val="DeptBullets"/>
        <w:numPr>
          <w:ilvl w:val="0"/>
          <w:numId w:val="0"/>
        </w:numPr>
        <w:rPr>
          <w:rFonts w:cs="Arial"/>
          <w:sz w:val="20"/>
        </w:rPr>
      </w:pPr>
      <w:r>
        <w:rPr>
          <w:rFonts w:cs="Arial"/>
          <w:sz w:val="20"/>
        </w:rPr>
        <w:t xml:space="preserve">Helen Bellinger </w:t>
      </w:r>
      <w:r w:rsidRPr="00B842C7">
        <w:rPr>
          <w:rFonts w:cs="Arial"/>
          <w:sz w:val="20"/>
        </w:rPr>
        <w:t xml:space="preserve">Partners in Learning, Sarah </w:t>
      </w:r>
      <w:r>
        <w:rPr>
          <w:rFonts w:cs="Arial"/>
          <w:sz w:val="20"/>
        </w:rPr>
        <w:t xml:space="preserve">Rockliff </w:t>
      </w:r>
      <w:r w:rsidRPr="00B842C7">
        <w:rPr>
          <w:rFonts w:cs="Arial"/>
          <w:sz w:val="20"/>
        </w:rPr>
        <w:t xml:space="preserve">Learning Unlimited, Sara </w:t>
      </w:r>
      <w:r>
        <w:rPr>
          <w:rFonts w:cs="Arial"/>
          <w:sz w:val="20"/>
        </w:rPr>
        <w:t xml:space="preserve">Harle, </w:t>
      </w:r>
      <w:r w:rsidRPr="00B842C7">
        <w:rPr>
          <w:rFonts w:cs="Arial"/>
          <w:sz w:val="20"/>
        </w:rPr>
        <w:t xml:space="preserve"> Partners in Learning, Diane Heritage TSC Adviser</w:t>
      </w:r>
    </w:p>
    <w:sectPr w:rsidR="00B842C7" w:rsidRPr="00B842C7" w:rsidSect="009D7E4E">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52" w:rsidRDefault="00901F52">
      <w:r>
        <w:separator/>
      </w:r>
    </w:p>
  </w:endnote>
  <w:endnote w:type="continuationSeparator" w:id="0">
    <w:p w:rsidR="00901F52" w:rsidRDefault="0090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54881"/>
      <w:docPartObj>
        <w:docPartGallery w:val="Page Numbers (Bottom of Page)"/>
        <w:docPartUnique/>
      </w:docPartObj>
    </w:sdtPr>
    <w:sdtEndPr>
      <w:rPr>
        <w:noProof/>
      </w:rPr>
    </w:sdtEndPr>
    <w:sdtContent>
      <w:p w:rsidR="006B5BA4" w:rsidRDefault="006B5BA4">
        <w:pPr>
          <w:pStyle w:val="Footer"/>
        </w:pPr>
        <w:r>
          <w:fldChar w:fldCharType="begin"/>
        </w:r>
        <w:r>
          <w:instrText xml:space="preserve"> PAGE   \* MERGEFORMAT </w:instrText>
        </w:r>
        <w:r>
          <w:fldChar w:fldCharType="separate"/>
        </w:r>
        <w:r w:rsidR="00A34393">
          <w:rPr>
            <w:noProof/>
          </w:rPr>
          <w:t>7</w:t>
        </w:r>
        <w:r>
          <w:rPr>
            <w:noProof/>
          </w:rPr>
          <w:fldChar w:fldCharType="end"/>
        </w:r>
      </w:p>
    </w:sdtContent>
  </w:sdt>
  <w:p w:rsidR="006B5BA4" w:rsidRDefault="006B5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52" w:rsidRDefault="00901F52">
      <w:r>
        <w:separator/>
      </w:r>
    </w:p>
  </w:footnote>
  <w:footnote w:type="continuationSeparator" w:id="0">
    <w:p w:rsidR="00901F52" w:rsidRDefault="0090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0F" w:rsidRDefault="006B5BA4" w:rsidP="00E5210F">
    <w:pPr>
      <w:pStyle w:val="Header"/>
      <w:jc w:val="right"/>
    </w:pPr>
    <w:r w:rsidRPr="00CF6D02">
      <w:rPr>
        <w:noProof/>
        <w:lang w:eastAsia="en-GB"/>
      </w:rPr>
      <w:drawing>
        <wp:inline distT="0" distB="0" distL="0" distR="0">
          <wp:extent cx="1733550" cy="552450"/>
          <wp:effectExtent l="0" t="0" r="0" b="0"/>
          <wp:docPr id="2" name="Picture 2" descr="Description: Macintosh HD:Users:alexquigley:Desktop:CakDh-2WEAI86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lexquigley:Desktop:CakDh-2WEAI86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00E5210F">
      <w:rPr>
        <w:rFonts w:cs="Arial"/>
        <w:noProof/>
        <w:color w:val="000000"/>
        <w:sz w:val="18"/>
        <w:szCs w:val="18"/>
        <w:lang w:eastAsia="en-GB"/>
      </w:rPr>
      <w:drawing>
        <wp:inline distT="0" distB="0" distL="0" distR="0" wp14:anchorId="7B9B64E8" wp14:editId="137B1E2E">
          <wp:extent cx="1932305" cy="706941"/>
          <wp:effectExtent l="0" t="0" r="0" b="0"/>
          <wp:docPr id="1" name="Picture 1" descr="cid:image001.gif@01CE3544.623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544.623F7F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32305" cy="706941"/>
                  </a:xfrm>
                  <a:prstGeom prst="rect">
                    <a:avLst/>
                  </a:prstGeom>
                  <a:noFill/>
                  <a:ln>
                    <a:noFill/>
                  </a:ln>
                </pic:spPr>
              </pic:pic>
            </a:graphicData>
          </a:graphic>
        </wp:inline>
      </w:drawing>
    </w:r>
  </w:p>
  <w:p w:rsidR="00E5210F" w:rsidRDefault="00E52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1D2DDD"/>
    <w:multiLevelType w:val="hybridMultilevel"/>
    <w:tmpl w:val="76C6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F16D4"/>
    <w:multiLevelType w:val="hybridMultilevel"/>
    <w:tmpl w:val="EB9E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9887FD0"/>
    <w:multiLevelType w:val="hybridMultilevel"/>
    <w:tmpl w:val="35D0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259DD"/>
    <w:multiLevelType w:val="hybridMultilevel"/>
    <w:tmpl w:val="96F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6640E"/>
    <w:multiLevelType w:val="multilevel"/>
    <w:tmpl w:val="7EE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41482"/>
    <w:multiLevelType w:val="hybridMultilevel"/>
    <w:tmpl w:val="E28C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362B93"/>
    <w:multiLevelType w:val="hybridMultilevel"/>
    <w:tmpl w:val="DDF80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AD46B34"/>
    <w:multiLevelType w:val="hybridMultilevel"/>
    <w:tmpl w:val="DD440872"/>
    <w:lvl w:ilvl="0" w:tplc="326E0EC0">
      <w:start w:val="1"/>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D65D4"/>
    <w:multiLevelType w:val="multilevel"/>
    <w:tmpl w:val="87FA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CC64B0"/>
    <w:multiLevelType w:val="hybridMultilevel"/>
    <w:tmpl w:val="DEEC8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D577A"/>
    <w:multiLevelType w:val="hybridMultilevel"/>
    <w:tmpl w:val="62CE0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D34A9"/>
    <w:multiLevelType w:val="hybridMultilevel"/>
    <w:tmpl w:val="E912E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505392"/>
    <w:multiLevelType w:val="hybridMultilevel"/>
    <w:tmpl w:val="9CCE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54265"/>
    <w:multiLevelType w:val="multilevel"/>
    <w:tmpl w:val="9984D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FE24854"/>
    <w:multiLevelType w:val="hybridMultilevel"/>
    <w:tmpl w:val="20AE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0"/>
  </w:num>
  <w:num w:numId="5">
    <w:abstractNumId w:val="12"/>
  </w:num>
  <w:num w:numId="6">
    <w:abstractNumId w:val="18"/>
  </w:num>
  <w:num w:numId="7">
    <w:abstractNumId w:val="14"/>
  </w:num>
  <w:num w:numId="8">
    <w:abstractNumId w:val="16"/>
  </w:num>
  <w:num w:numId="9">
    <w:abstractNumId w:val="1"/>
  </w:num>
  <w:num w:numId="10">
    <w:abstractNumId w:val="15"/>
  </w:num>
  <w:num w:numId="11">
    <w:abstractNumId w:val="17"/>
  </w:num>
  <w:num w:numId="12">
    <w:abstractNumId w:val="8"/>
  </w:num>
  <w:num w:numId="13">
    <w:abstractNumId w:val="13"/>
  </w:num>
  <w:num w:numId="14">
    <w:abstractNumId w:val="2"/>
  </w:num>
  <w:num w:numId="15">
    <w:abstractNumId w:val="7"/>
  </w:num>
  <w:num w:numId="16">
    <w:abstractNumId w:val="11"/>
  </w:num>
  <w:num w:numId="17">
    <w:abstractNumId w:val="6"/>
  </w:num>
  <w:num w:numId="18">
    <w:abstractNumId w:val="5"/>
  </w:num>
  <w:num w:numId="19">
    <w:abstractNumId w:val="21"/>
  </w:num>
  <w:num w:numId="20">
    <w:abstractNumId w:val="19"/>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5"/>
    <w:rsid w:val="00011F78"/>
    <w:rsid w:val="00022DB6"/>
    <w:rsid w:val="00041864"/>
    <w:rsid w:val="0004776A"/>
    <w:rsid w:val="000833EF"/>
    <w:rsid w:val="00096F5C"/>
    <w:rsid w:val="000A0C1B"/>
    <w:rsid w:val="000B1468"/>
    <w:rsid w:val="000E5D53"/>
    <w:rsid w:val="000F4E59"/>
    <w:rsid w:val="000F5B22"/>
    <w:rsid w:val="00116F59"/>
    <w:rsid w:val="001362FD"/>
    <w:rsid w:val="001366BB"/>
    <w:rsid w:val="001372F2"/>
    <w:rsid w:val="001532BD"/>
    <w:rsid w:val="00153F85"/>
    <w:rsid w:val="00180A06"/>
    <w:rsid w:val="00182783"/>
    <w:rsid w:val="00195F8E"/>
    <w:rsid w:val="001A54FA"/>
    <w:rsid w:val="001B05C8"/>
    <w:rsid w:val="001B6DF9"/>
    <w:rsid w:val="001D55BC"/>
    <w:rsid w:val="001D7FB3"/>
    <w:rsid w:val="002009C2"/>
    <w:rsid w:val="00211C37"/>
    <w:rsid w:val="00212D24"/>
    <w:rsid w:val="0021504A"/>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496A"/>
    <w:rsid w:val="003B78F9"/>
    <w:rsid w:val="003D6637"/>
    <w:rsid w:val="003D74A2"/>
    <w:rsid w:val="003D7A13"/>
    <w:rsid w:val="003E13CA"/>
    <w:rsid w:val="003E1B86"/>
    <w:rsid w:val="00402829"/>
    <w:rsid w:val="00430DC5"/>
    <w:rsid w:val="00450D89"/>
    <w:rsid w:val="004533A7"/>
    <w:rsid w:val="00460505"/>
    <w:rsid w:val="00463122"/>
    <w:rsid w:val="00476926"/>
    <w:rsid w:val="00480E77"/>
    <w:rsid w:val="00484C39"/>
    <w:rsid w:val="004955D9"/>
    <w:rsid w:val="004B6332"/>
    <w:rsid w:val="004E39A5"/>
    <w:rsid w:val="004E633C"/>
    <w:rsid w:val="00511CA5"/>
    <w:rsid w:val="005150CE"/>
    <w:rsid w:val="00524981"/>
    <w:rsid w:val="00530814"/>
    <w:rsid w:val="00545301"/>
    <w:rsid w:val="00565333"/>
    <w:rsid w:val="00591B39"/>
    <w:rsid w:val="005B1CC3"/>
    <w:rsid w:val="005B4EF3"/>
    <w:rsid w:val="005B5A07"/>
    <w:rsid w:val="005C1372"/>
    <w:rsid w:val="005E17FE"/>
    <w:rsid w:val="006060B3"/>
    <w:rsid w:val="00607A4B"/>
    <w:rsid w:val="00613A72"/>
    <w:rsid w:val="0062704E"/>
    <w:rsid w:val="00634682"/>
    <w:rsid w:val="0063507E"/>
    <w:rsid w:val="006363E9"/>
    <w:rsid w:val="006557C6"/>
    <w:rsid w:val="006858D6"/>
    <w:rsid w:val="00687908"/>
    <w:rsid w:val="006A0189"/>
    <w:rsid w:val="006A0B37"/>
    <w:rsid w:val="006A1127"/>
    <w:rsid w:val="006A2F72"/>
    <w:rsid w:val="006A3278"/>
    <w:rsid w:val="006A6F17"/>
    <w:rsid w:val="006B5BA4"/>
    <w:rsid w:val="006D3EBD"/>
    <w:rsid w:val="006D7E2A"/>
    <w:rsid w:val="006E6F0B"/>
    <w:rsid w:val="006F1250"/>
    <w:rsid w:val="007104E4"/>
    <w:rsid w:val="00710FAD"/>
    <w:rsid w:val="007442BB"/>
    <w:rsid w:val="007463C5"/>
    <w:rsid w:val="00746846"/>
    <w:rsid w:val="007510C3"/>
    <w:rsid w:val="007558D3"/>
    <w:rsid w:val="0076458E"/>
    <w:rsid w:val="00767063"/>
    <w:rsid w:val="007940AE"/>
    <w:rsid w:val="007A10F9"/>
    <w:rsid w:val="007A4C02"/>
    <w:rsid w:val="007B49CD"/>
    <w:rsid w:val="007B593B"/>
    <w:rsid w:val="007B5A46"/>
    <w:rsid w:val="007C1BC2"/>
    <w:rsid w:val="007D0DBA"/>
    <w:rsid w:val="007D4D51"/>
    <w:rsid w:val="007D4DB0"/>
    <w:rsid w:val="007F073B"/>
    <w:rsid w:val="007F13A4"/>
    <w:rsid w:val="00805C72"/>
    <w:rsid w:val="00831225"/>
    <w:rsid w:val="008428AB"/>
    <w:rsid w:val="0085728C"/>
    <w:rsid w:val="00863664"/>
    <w:rsid w:val="0087181C"/>
    <w:rsid w:val="0088151C"/>
    <w:rsid w:val="008817AB"/>
    <w:rsid w:val="008843A4"/>
    <w:rsid w:val="008B1C49"/>
    <w:rsid w:val="008B4B05"/>
    <w:rsid w:val="008B67CC"/>
    <w:rsid w:val="008D1228"/>
    <w:rsid w:val="008D1764"/>
    <w:rsid w:val="008E3BDA"/>
    <w:rsid w:val="008E5556"/>
    <w:rsid w:val="008F452F"/>
    <w:rsid w:val="00901F52"/>
    <w:rsid w:val="00905ADC"/>
    <w:rsid w:val="00906C33"/>
    <w:rsid w:val="009173AF"/>
    <w:rsid w:val="00932946"/>
    <w:rsid w:val="009424FA"/>
    <w:rsid w:val="009426CB"/>
    <w:rsid w:val="00963073"/>
    <w:rsid w:val="0097315A"/>
    <w:rsid w:val="00974C52"/>
    <w:rsid w:val="009A3F0A"/>
    <w:rsid w:val="009B3EFE"/>
    <w:rsid w:val="009B493A"/>
    <w:rsid w:val="009B7F00"/>
    <w:rsid w:val="009D2360"/>
    <w:rsid w:val="009D3D73"/>
    <w:rsid w:val="009D7E4E"/>
    <w:rsid w:val="009E73AD"/>
    <w:rsid w:val="009F5357"/>
    <w:rsid w:val="009F7653"/>
    <w:rsid w:val="00A00569"/>
    <w:rsid w:val="00A21E85"/>
    <w:rsid w:val="00A2712A"/>
    <w:rsid w:val="00A3306B"/>
    <w:rsid w:val="00A34393"/>
    <w:rsid w:val="00A36044"/>
    <w:rsid w:val="00A366A9"/>
    <w:rsid w:val="00A42779"/>
    <w:rsid w:val="00A46912"/>
    <w:rsid w:val="00A64099"/>
    <w:rsid w:val="00A71E45"/>
    <w:rsid w:val="00A75AA3"/>
    <w:rsid w:val="00A96425"/>
    <w:rsid w:val="00AB6016"/>
    <w:rsid w:val="00AC2A37"/>
    <w:rsid w:val="00AD0E50"/>
    <w:rsid w:val="00AD632D"/>
    <w:rsid w:val="00AE77D7"/>
    <w:rsid w:val="00AF0554"/>
    <w:rsid w:val="00AF1C07"/>
    <w:rsid w:val="00AF737F"/>
    <w:rsid w:val="00B006DF"/>
    <w:rsid w:val="00B05ECD"/>
    <w:rsid w:val="00B06172"/>
    <w:rsid w:val="00B16A24"/>
    <w:rsid w:val="00B16A8C"/>
    <w:rsid w:val="00B275C1"/>
    <w:rsid w:val="00B6522B"/>
    <w:rsid w:val="00B65709"/>
    <w:rsid w:val="00B67DF2"/>
    <w:rsid w:val="00B7783E"/>
    <w:rsid w:val="00B842C7"/>
    <w:rsid w:val="00B85BF7"/>
    <w:rsid w:val="00B939CC"/>
    <w:rsid w:val="00BC547B"/>
    <w:rsid w:val="00BC6DBB"/>
    <w:rsid w:val="00BD27E7"/>
    <w:rsid w:val="00BD4B6C"/>
    <w:rsid w:val="00BE6DF5"/>
    <w:rsid w:val="00C002B3"/>
    <w:rsid w:val="00C10AEF"/>
    <w:rsid w:val="00C37933"/>
    <w:rsid w:val="00C408C7"/>
    <w:rsid w:val="00C47EEA"/>
    <w:rsid w:val="00C519D0"/>
    <w:rsid w:val="00C70ACB"/>
    <w:rsid w:val="00C73186"/>
    <w:rsid w:val="00CA46D3"/>
    <w:rsid w:val="00CA4FEC"/>
    <w:rsid w:val="00CD7921"/>
    <w:rsid w:val="00CE084B"/>
    <w:rsid w:val="00CF7B4B"/>
    <w:rsid w:val="00D013FA"/>
    <w:rsid w:val="00D02D57"/>
    <w:rsid w:val="00D118D6"/>
    <w:rsid w:val="00D20266"/>
    <w:rsid w:val="00D20C29"/>
    <w:rsid w:val="00D26E7A"/>
    <w:rsid w:val="00D33842"/>
    <w:rsid w:val="00D47915"/>
    <w:rsid w:val="00D57D6E"/>
    <w:rsid w:val="00D61F5A"/>
    <w:rsid w:val="00D62A29"/>
    <w:rsid w:val="00D656C2"/>
    <w:rsid w:val="00DB4C12"/>
    <w:rsid w:val="00DE43D4"/>
    <w:rsid w:val="00E0081E"/>
    <w:rsid w:val="00E02094"/>
    <w:rsid w:val="00E02CF2"/>
    <w:rsid w:val="00E10F4C"/>
    <w:rsid w:val="00E2419F"/>
    <w:rsid w:val="00E366D6"/>
    <w:rsid w:val="00E405BE"/>
    <w:rsid w:val="00E5210F"/>
    <w:rsid w:val="00E63D8B"/>
    <w:rsid w:val="00E654BF"/>
    <w:rsid w:val="00E74CFC"/>
    <w:rsid w:val="00E81BFA"/>
    <w:rsid w:val="00E81F4B"/>
    <w:rsid w:val="00EA11BE"/>
    <w:rsid w:val="00EB1008"/>
    <w:rsid w:val="00EC644A"/>
    <w:rsid w:val="00EC6A3F"/>
    <w:rsid w:val="00F30554"/>
    <w:rsid w:val="00F348D2"/>
    <w:rsid w:val="00F4485F"/>
    <w:rsid w:val="00F44B6A"/>
    <w:rsid w:val="00F521C7"/>
    <w:rsid w:val="00F60BF8"/>
    <w:rsid w:val="00F64863"/>
    <w:rsid w:val="00F915BB"/>
    <w:rsid w:val="00F93DAC"/>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28B94E-B60D-4CE5-979F-BBA10B6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A7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5210F"/>
    <w:rPr>
      <w:rFonts w:ascii="Arial" w:hAnsi="Arial"/>
      <w:sz w:val="24"/>
      <w:lang w:eastAsia="en-US"/>
    </w:rPr>
  </w:style>
  <w:style w:type="paragraph" w:styleId="BalloonText">
    <w:name w:val="Balloon Text"/>
    <w:basedOn w:val="Normal"/>
    <w:link w:val="BalloonTextChar"/>
    <w:rsid w:val="00E5210F"/>
    <w:rPr>
      <w:rFonts w:ascii="Tahoma" w:hAnsi="Tahoma" w:cs="Tahoma"/>
      <w:sz w:val="16"/>
      <w:szCs w:val="16"/>
    </w:rPr>
  </w:style>
  <w:style w:type="character" w:customStyle="1" w:styleId="BalloonTextChar">
    <w:name w:val="Balloon Text Char"/>
    <w:basedOn w:val="DefaultParagraphFont"/>
    <w:link w:val="BalloonText"/>
    <w:rsid w:val="00E5210F"/>
    <w:rPr>
      <w:rFonts w:ascii="Tahoma" w:hAnsi="Tahoma" w:cs="Tahoma"/>
      <w:sz w:val="16"/>
      <w:szCs w:val="16"/>
      <w:lang w:eastAsia="en-US"/>
    </w:rPr>
  </w:style>
  <w:style w:type="character" w:styleId="Hyperlink">
    <w:name w:val="Hyperlink"/>
    <w:basedOn w:val="DefaultParagraphFont"/>
    <w:unhideWhenUsed/>
    <w:rsid w:val="006A0B37"/>
    <w:rPr>
      <w:color w:val="0000FF" w:themeColor="hyperlink"/>
      <w:u w:val="single"/>
    </w:rPr>
  </w:style>
  <w:style w:type="character" w:customStyle="1" w:styleId="FooterChar">
    <w:name w:val="Footer Char"/>
    <w:basedOn w:val="DefaultParagraphFont"/>
    <w:link w:val="Footer"/>
    <w:uiPriority w:val="99"/>
    <w:rsid w:val="006B5BA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4927">
      <w:bodyDiv w:val="1"/>
      <w:marLeft w:val="0"/>
      <w:marRight w:val="0"/>
      <w:marTop w:val="0"/>
      <w:marBottom w:val="0"/>
      <w:divBdr>
        <w:top w:val="none" w:sz="0" w:space="0" w:color="auto"/>
        <w:left w:val="none" w:sz="0" w:space="0" w:color="auto"/>
        <w:bottom w:val="none" w:sz="0" w:space="0" w:color="auto"/>
        <w:right w:val="none" w:sz="0" w:space="0" w:color="auto"/>
      </w:divBdr>
      <w:divsChild>
        <w:div w:id="2005745700">
          <w:marLeft w:val="0"/>
          <w:marRight w:val="0"/>
          <w:marTop w:val="0"/>
          <w:marBottom w:val="0"/>
          <w:divBdr>
            <w:top w:val="none" w:sz="0" w:space="0" w:color="auto"/>
            <w:left w:val="none" w:sz="0" w:space="0" w:color="auto"/>
            <w:bottom w:val="none" w:sz="0" w:space="0" w:color="auto"/>
            <w:right w:val="none" w:sz="0" w:space="0" w:color="auto"/>
          </w:divBdr>
          <w:divsChild>
            <w:div w:id="1275284769">
              <w:marLeft w:val="0"/>
              <w:marRight w:val="0"/>
              <w:marTop w:val="0"/>
              <w:marBottom w:val="0"/>
              <w:divBdr>
                <w:top w:val="none" w:sz="0" w:space="0" w:color="auto"/>
                <w:left w:val="none" w:sz="0" w:space="0" w:color="auto"/>
                <w:bottom w:val="none" w:sz="0" w:space="0" w:color="auto"/>
                <w:right w:val="none" w:sz="0" w:space="0" w:color="auto"/>
              </w:divBdr>
              <w:divsChild>
                <w:div w:id="1361855761">
                  <w:marLeft w:val="0"/>
                  <w:marRight w:val="0"/>
                  <w:marTop w:val="0"/>
                  <w:marBottom w:val="0"/>
                  <w:divBdr>
                    <w:top w:val="none" w:sz="0" w:space="0" w:color="auto"/>
                    <w:left w:val="none" w:sz="0" w:space="0" w:color="auto"/>
                    <w:bottom w:val="none" w:sz="0" w:space="0" w:color="auto"/>
                    <w:right w:val="none" w:sz="0" w:space="0" w:color="auto"/>
                  </w:divBdr>
                  <w:divsChild>
                    <w:div w:id="1580869083">
                      <w:marLeft w:val="-225"/>
                      <w:marRight w:val="-225"/>
                      <w:marTop w:val="0"/>
                      <w:marBottom w:val="0"/>
                      <w:divBdr>
                        <w:top w:val="none" w:sz="0" w:space="0" w:color="auto"/>
                        <w:left w:val="none" w:sz="0" w:space="0" w:color="auto"/>
                        <w:bottom w:val="none" w:sz="0" w:space="0" w:color="auto"/>
                        <w:right w:val="none" w:sz="0" w:space="0" w:color="auto"/>
                      </w:divBdr>
                      <w:divsChild>
                        <w:div w:id="139932441">
                          <w:marLeft w:val="0"/>
                          <w:marRight w:val="0"/>
                          <w:marTop w:val="0"/>
                          <w:marBottom w:val="0"/>
                          <w:divBdr>
                            <w:top w:val="none" w:sz="0" w:space="0" w:color="auto"/>
                            <w:left w:val="none" w:sz="0" w:space="0" w:color="auto"/>
                            <w:bottom w:val="none" w:sz="0" w:space="0" w:color="auto"/>
                            <w:right w:val="none" w:sz="0" w:space="0" w:color="auto"/>
                          </w:divBdr>
                          <w:divsChild>
                            <w:div w:id="9757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erformance/fs_13/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heritage@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council.org.uk/wp-content/uploads/2017/01/LLE-eligibility-criteria.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gif@01CE3544.623F7FE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CAWTHORNE, Trudie</dc:creator>
  <cp:lastModifiedBy>USER01</cp:lastModifiedBy>
  <cp:revision>2</cp:revision>
  <dcterms:created xsi:type="dcterms:W3CDTF">2017-01-25T10:38:00Z</dcterms:created>
  <dcterms:modified xsi:type="dcterms:W3CDTF">2017-01-25T10:38:00Z</dcterms:modified>
</cp:coreProperties>
</file>